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1B13BD" w14:paraId="620A8B78" w14:textId="77777777" w:rsidTr="00D607BE">
        <w:tc>
          <w:tcPr>
            <w:tcW w:w="9265" w:type="dxa"/>
            <w:shd w:val="clear" w:color="auto" w:fill="E0E0E0"/>
          </w:tcPr>
          <w:p w14:paraId="137D5BED" w14:textId="0033F5FC" w:rsidR="00B3413C" w:rsidRPr="001B13BD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1B13BD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F36352" w:rsidRPr="001B13BD" w14:paraId="1724EE63" w14:textId="77777777" w:rsidTr="00F36352">
        <w:tc>
          <w:tcPr>
            <w:tcW w:w="3005" w:type="dxa"/>
          </w:tcPr>
          <w:p w14:paraId="7FF5F0CE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924021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5707AD5" w14:textId="43C5A7DE" w:rsidR="00F36352" w:rsidRPr="001B13BD" w:rsidRDefault="00C05670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Province </w:t>
            </w:r>
            <w:r w:rsidR="00450518" w:rsidRPr="001B13BD">
              <w:rPr>
                <w:rFonts w:ascii="Arial" w:hAnsi="Arial" w:cs="Arial"/>
                <w:b/>
                <w:bCs/>
              </w:rPr>
              <w:t>Programmatic Management of Drug-Resistance Tuberculosis (PMDT)</w:t>
            </w:r>
            <w:r w:rsidR="00F36352" w:rsidRPr="001B13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435D8">
              <w:rPr>
                <w:rFonts w:ascii="Arial" w:hAnsi="Arial" w:cs="Arial"/>
                <w:b/>
                <w:bCs/>
              </w:rPr>
              <w:t>Akselerasi</w:t>
            </w:r>
            <w:proofErr w:type="spellEnd"/>
          </w:p>
        </w:tc>
      </w:tr>
      <w:tr w:rsidR="00F36352" w:rsidRPr="001B13BD" w14:paraId="18894B51" w14:textId="77777777" w:rsidTr="00F36352">
        <w:tc>
          <w:tcPr>
            <w:tcW w:w="3005" w:type="dxa"/>
          </w:tcPr>
          <w:p w14:paraId="7ED9F77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0AF8B16F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1BBB131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Technical Officer</w:t>
            </w:r>
          </w:p>
        </w:tc>
      </w:tr>
      <w:tr w:rsidR="00F36352" w:rsidRPr="001B13BD" w14:paraId="03196344" w14:textId="77777777" w:rsidTr="00F36352">
        <w:tc>
          <w:tcPr>
            <w:tcW w:w="3005" w:type="dxa"/>
          </w:tcPr>
          <w:p w14:paraId="661B23D7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3A3ACF8A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D38B23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326FE6D3" w14:textId="77777777" w:rsidTr="00F36352">
        <w:tc>
          <w:tcPr>
            <w:tcW w:w="3005" w:type="dxa"/>
          </w:tcPr>
          <w:p w14:paraId="0001CA40" w14:textId="50798922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Grade</w:t>
            </w:r>
          </w:p>
        </w:tc>
        <w:tc>
          <w:tcPr>
            <w:tcW w:w="320" w:type="dxa"/>
          </w:tcPr>
          <w:p w14:paraId="5FB8A29C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494335B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</w:p>
        </w:tc>
      </w:tr>
      <w:tr w:rsidR="00F36352" w:rsidRPr="001B13BD" w14:paraId="621ABE41" w14:textId="77777777" w:rsidTr="00F36352">
        <w:tc>
          <w:tcPr>
            <w:tcW w:w="3005" w:type="dxa"/>
          </w:tcPr>
          <w:p w14:paraId="09F6FB7B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631A5474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0426DDE1" w14:textId="221FC050" w:rsidR="00F36352" w:rsidRPr="001B13BD" w:rsidRDefault="00C05670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Kepala Dinas Kesehatan Provinsi/ </w:t>
            </w:r>
            <w:r w:rsidR="001B13BD" w:rsidRPr="001B13BD">
              <w:rPr>
                <w:rFonts w:ascii="Arial" w:hAnsi="Arial" w:cs="Arial"/>
              </w:rPr>
              <w:t>PPO</w:t>
            </w:r>
          </w:p>
        </w:tc>
      </w:tr>
      <w:tr w:rsidR="00F36352" w:rsidRPr="001B13BD" w14:paraId="39344C0C" w14:textId="77777777" w:rsidTr="00F36352">
        <w:tc>
          <w:tcPr>
            <w:tcW w:w="3005" w:type="dxa"/>
          </w:tcPr>
          <w:p w14:paraId="3701A253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54BD1468" w14:textId="77777777" w:rsidR="00F36352" w:rsidRPr="001B13BD" w:rsidRDefault="00F36352" w:rsidP="00F768B8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4C4B3D8" w14:textId="081FA127" w:rsidR="00F36352" w:rsidRPr="001B13BD" w:rsidRDefault="005B476F" w:rsidP="00F76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Province</w:t>
            </w:r>
          </w:p>
        </w:tc>
      </w:tr>
    </w:tbl>
    <w:p w14:paraId="5B05FD04" w14:textId="028F067D" w:rsidR="00A85C87" w:rsidRPr="001B13BD" w:rsidRDefault="00A85C8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1B13BD" w14:paraId="76C26DA8" w14:textId="77777777" w:rsidTr="00D607BE">
        <w:tc>
          <w:tcPr>
            <w:tcW w:w="9265" w:type="dxa"/>
            <w:shd w:val="clear" w:color="auto" w:fill="E0E0E0"/>
          </w:tcPr>
          <w:p w14:paraId="0D048510" w14:textId="2AE5B540" w:rsidR="00894769" w:rsidRPr="001B13BD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1B13BD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1B13BD" w14:paraId="70F4EB84" w14:textId="77777777" w:rsidTr="00D607BE">
        <w:trPr>
          <w:cantSplit/>
        </w:trPr>
        <w:tc>
          <w:tcPr>
            <w:tcW w:w="9265" w:type="dxa"/>
          </w:tcPr>
          <w:p w14:paraId="1BF71532" w14:textId="0518E2BD" w:rsidR="00825D37" w:rsidRPr="001B13BD" w:rsidRDefault="00894769" w:rsidP="00D970A8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  <w:bCs/>
              </w:rPr>
              <w:t>Di</w:t>
            </w:r>
            <w:r w:rsidR="003638AB"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bawah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bimbingan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  <w:bCs/>
              </w:rPr>
              <w:t>pengawasan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  <w:bCs/>
              </w:rPr>
              <w:t>dari</w:t>
            </w:r>
            <w:proofErr w:type="spellEnd"/>
            <w:r w:rsidRPr="001B13BD">
              <w:rPr>
                <w:rFonts w:ascii="Arial" w:hAnsi="Arial" w:cs="Arial"/>
                <w:bCs/>
              </w:rPr>
              <w:t xml:space="preserve"> </w:t>
            </w:r>
            <w:r w:rsidR="00C05670" w:rsidRPr="001B13BD">
              <w:rPr>
                <w:rFonts w:ascii="Arial" w:hAnsi="Arial" w:cs="Arial"/>
                <w:bCs/>
              </w:rPr>
              <w:t xml:space="preserve">Kepala Dinas Kesehatan Provinsi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selaku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Kepala SR dan </w:t>
            </w:r>
            <w:r w:rsidR="004D75A1" w:rsidRPr="001B13BD">
              <w:rPr>
                <w:rFonts w:ascii="Arial" w:hAnsi="Arial" w:cs="Arial"/>
              </w:rPr>
              <w:t>Focal Point</w:t>
            </w:r>
            <w:r w:rsidRPr="001B13BD">
              <w:rPr>
                <w:rFonts w:ascii="Arial" w:hAnsi="Arial" w:cs="Arial"/>
                <w:bCs/>
              </w:rPr>
              <w:t xml:space="preserve">, </w:t>
            </w:r>
            <w:r w:rsidR="00251489" w:rsidRPr="001B13BD">
              <w:rPr>
                <w:rFonts w:ascii="Arial" w:hAnsi="Arial" w:cs="Arial"/>
              </w:rPr>
              <w:t xml:space="preserve">Programmatic Management of Drug-Resistance Tuberculosis (PMDT) </w:t>
            </w:r>
            <w:r w:rsidR="00F36352" w:rsidRPr="001B13BD">
              <w:rPr>
                <w:rFonts w:ascii="Arial" w:hAnsi="Arial" w:cs="Arial"/>
                <w:bCs/>
              </w:rPr>
              <w:t xml:space="preserve">Technical Officer </w:t>
            </w:r>
            <w:proofErr w:type="spellStart"/>
            <w:r w:rsidR="00C05670" w:rsidRPr="001B13BD">
              <w:rPr>
                <w:rFonts w:ascii="Arial" w:hAnsi="Arial" w:cs="Arial"/>
                <w:bCs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  <w:bCs/>
              </w:rPr>
              <w:t xml:space="preserve"> provinsi </w:t>
            </w:r>
            <w:proofErr w:type="spellStart"/>
            <w:r w:rsidR="00A556B1" w:rsidRPr="001B13BD">
              <w:rPr>
                <w:rFonts w:ascii="Arial" w:hAnsi="Arial" w:cs="Arial"/>
              </w:rPr>
              <w:t>bertanggung</w:t>
            </w:r>
            <w:proofErr w:type="spellEnd"/>
            <w:r w:rsidR="003638A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1B13BD">
              <w:rPr>
                <w:rFonts w:ascii="Arial" w:hAnsi="Arial" w:cs="Arial"/>
              </w:rPr>
              <w:t>jawab</w:t>
            </w:r>
            <w:proofErr w:type="spellEnd"/>
            <w:r w:rsidR="00A556B1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16059" w:rsidRPr="001B13BD">
              <w:rPr>
                <w:rFonts w:ascii="Arial" w:hAnsi="Arial" w:cs="Arial"/>
              </w:rPr>
              <w:t>melaksanakan</w:t>
            </w:r>
            <w:proofErr w:type="spellEnd"/>
            <w:r w:rsidR="00C16059" w:rsidRPr="001B13BD">
              <w:rPr>
                <w:rFonts w:ascii="Arial" w:hAnsi="Arial" w:cs="Arial"/>
              </w:rPr>
              <w:t xml:space="preserve"> </w:t>
            </w:r>
            <w:r w:rsidR="00D970A8" w:rsidRPr="001B13BD">
              <w:rPr>
                <w:rFonts w:ascii="Arial" w:hAnsi="Arial" w:cs="Arial"/>
              </w:rPr>
              <w:t>kegiatan terkait dengan</w:t>
            </w:r>
            <w:r w:rsidR="00251489" w:rsidRPr="001B13BD">
              <w:rPr>
                <w:rFonts w:ascii="Arial" w:hAnsi="Arial" w:cs="Arial"/>
              </w:rPr>
              <w:t xml:space="preserve"> bantuan </w:t>
            </w:r>
            <w:proofErr w:type="spellStart"/>
            <w:r w:rsidR="00251489" w:rsidRPr="001B13BD">
              <w:rPr>
                <w:rFonts w:ascii="Arial" w:hAnsi="Arial" w:cs="Arial"/>
              </w:rPr>
              <w:t>teknis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kepada N</w:t>
            </w:r>
            <w:r w:rsidR="00F11962" w:rsidRPr="001B13BD">
              <w:rPr>
                <w:rFonts w:ascii="Arial" w:hAnsi="Arial" w:cs="Arial"/>
              </w:rPr>
              <w:t xml:space="preserve">ational </w:t>
            </w:r>
            <w:r w:rsidR="00251489" w:rsidRPr="001B13BD">
              <w:rPr>
                <w:rFonts w:ascii="Arial" w:hAnsi="Arial" w:cs="Arial"/>
              </w:rPr>
              <w:t>T</w:t>
            </w:r>
            <w:r w:rsidR="00F11962" w:rsidRPr="001B13BD">
              <w:rPr>
                <w:rFonts w:ascii="Arial" w:hAnsi="Arial" w:cs="Arial"/>
              </w:rPr>
              <w:t xml:space="preserve">uberculosis </w:t>
            </w:r>
            <w:r w:rsidR="00251489" w:rsidRPr="001B13BD">
              <w:rPr>
                <w:rFonts w:ascii="Arial" w:hAnsi="Arial" w:cs="Arial"/>
              </w:rPr>
              <w:t>P</w:t>
            </w:r>
            <w:r w:rsidR="00F11962" w:rsidRPr="001B13BD">
              <w:rPr>
                <w:rFonts w:ascii="Arial" w:hAnsi="Arial" w:cs="Arial"/>
              </w:rPr>
              <w:t>rogram</w:t>
            </w:r>
            <w:r w:rsidR="00251489" w:rsidRPr="001B13BD">
              <w:rPr>
                <w:rFonts w:ascii="Arial" w:hAnsi="Arial" w:cs="Arial"/>
              </w:rPr>
              <w:t xml:space="preserve"> </w:t>
            </w:r>
            <w:r w:rsidR="00F11962" w:rsidRPr="001B13BD">
              <w:rPr>
                <w:rFonts w:ascii="Arial" w:hAnsi="Arial" w:cs="Arial"/>
              </w:rPr>
              <w:t xml:space="preserve">(NTP) </w:t>
            </w:r>
            <w:proofErr w:type="spellStart"/>
            <w:r w:rsidR="00251489" w:rsidRPr="001B13BD">
              <w:rPr>
                <w:rFonts w:ascii="Arial" w:hAnsi="Arial" w:cs="Arial"/>
              </w:rPr>
              <w:t>dalam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251489" w:rsidRPr="001B13BD">
              <w:rPr>
                <w:rFonts w:ascii="Arial" w:hAnsi="Arial" w:cs="Arial"/>
              </w:rPr>
              <w:t>memastikan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PMDT</w:t>
            </w:r>
            <w:r w:rsidR="00C05670"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="00C05670" w:rsidRPr="001B13BD">
              <w:rPr>
                <w:rFonts w:ascii="Arial" w:hAnsi="Arial" w:cs="Arial"/>
              </w:rPr>
              <w:t>tingkat</w:t>
            </w:r>
            <w:proofErr w:type="spellEnd"/>
            <w:r w:rsidR="00C05670" w:rsidRPr="001B13BD">
              <w:rPr>
                <w:rFonts w:ascii="Arial" w:hAnsi="Arial" w:cs="Arial"/>
              </w:rPr>
              <w:t xml:space="preserve"> provinsi</w:t>
            </w:r>
            <w:r w:rsidR="00251489" w:rsidRPr="001B13BD">
              <w:rPr>
                <w:rFonts w:ascii="Arial" w:hAnsi="Arial" w:cs="Arial"/>
              </w:rPr>
              <w:t xml:space="preserve"> </w:t>
            </w:r>
            <w:r w:rsidR="00C05670" w:rsidRPr="001B13BD">
              <w:rPr>
                <w:rFonts w:ascii="Arial" w:hAnsi="Arial" w:cs="Arial"/>
              </w:rPr>
              <w:t xml:space="preserve">berjalan </w:t>
            </w:r>
            <w:r w:rsidR="00251489" w:rsidRPr="001B13BD">
              <w:rPr>
                <w:rFonts w:ascii="Arial" w:hAnsi="Arial" w:cs="Arial"/>
              </w:rPr>
              <w:t xml:space="preserve">sesuai dengan </w:t>
            </w:r>
            <w:proofErr w:type="spellStart"/>
            <w:r w:rsidR="00251489" w:rsidRPr="001B13BD">
              <w:rPr>
                <w:rFonts w:ascii="Arial" w:hAnsi="Arial" w:cs="Arial"/>
              </w:rPr>
              <w:t>standar</w:t>
            </w:r>
            <w:proofErr w:type="spellEnd"/>
            <w:r w:rsidR="00251489" w:rsidRPr="001B13BD">
              <w:rPr>
                <w:rFonts w:ascii="Arial" w:hAnsi="Arial" w:cs="Arial"/>
              </w:rPr>
              <w:t xml:space="preserve"> </w:t>
            </w:r>
            <w:r w:rsidR="00657328" w:rsidRPr="001B13BD">
              <w:rPr>
                <w:rFonts w:ascii="Arial" w:hAnsi="Arial" w:cs="Arial"/>
              </w:rPr>
              <w:t xml:space="preserve">yang </w:t>
            </w:r>
            <w:proofErr w:type="spellStart"/>
            <w:r w:rsidR="00657328" w:rsidRPr="001B13BD">
              <w:rPr>
                <w:rFonts w:ascii="Arial" w:hAnsi="Arial" w:cs="Arial"/>
              </w:rPr>
              <w:t>ditetapkan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F11962" w:rsidRPr="001B13BD">
              <w:rPr>
                <w:rFonts w:ascii="Arial" w:hAnsi="Arial" w:cs="Arial"/>
              </w:rPr>
              <w:t>serta</w:t>
            </w:r>
            <w:proofErr w:type="spellEnd"/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berkontribusi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pembelajaran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berkelanjutan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di</w:t>
            </w:r>
            <w:r w:rsidR="00F11962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57328" w:rsidRPr="001B13BD">
              <w:rPr>
                <w:rFonts w:ascii="Arial" w:hAnsi="Arial" w:cs="Arial"/>
              </w:rPr>
              <w:t>dalam</w:t>
            </w:r>
            <w:proofErr w:type="spellEnd"/>
            <w:r w:rsidR="00657328" w:rsidRPr="001B13BD">
              <w:rPr>
                <w:rFonts w:ascii="Arial" w:hAnsi="Arial" w:cs="Arial"/>
              </w:rPr>
              <w:t xml:space="preserve"> organisasi dan pihak terkait lainnya</w:t>
            </w:r>
            <w:r w:rsidR="00F11962" w:rsidRPr="001B13BD">
              <w:rPr>
                <w:rFonts w:ascii="Arial" w:hAnsi="Arial" w:cs="Arial"/>
              </w:rPr>
              <w:t>.</w:t>
            </w:r>
          </w:p>
        </w:tc>
      </w:tr>
    </w:tbl>
    <w:p w14:paraId="20AC9DE3" w14:textId="74E8A1B3" w:rsidR="00894769" w:rsidRPr="001B13BD" w:rsidRDefault="00894769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0A196B" w:rsidRPr="001B13BD" w14:paraId="1E474DA5" w14:textId="77777777" w:rsidTr="008665FA">
        <w:tc>
          <w:tcPr>
            <w:tcW w:w="9265" w:type="dxa"/>
            <w:gridSpan w:val="2"/>
            <w:shd w:val="clear" w:color="auto" w:fill="D0CECE" w:themeFill="background2" w:themeFillShade="E6"/>
          </w:tcPr>
          <w:p w14:paraId="3D20136C" w14:textId="6BA4435F" w:rsidR="000A196B" w:rsidRPr="001B13BD" w:rsidRDefault="000A196B" w:rsidP="008665FA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1295F792" w14:textId="77777777" w:rsidR="000A196B" w:rsidRPr="001B13BD" w:rsidRDefault="000A196B" w:rsidP="008665FA">
            <w:pPr>
              <w:rPr>
                <w:rFonts w:ascii="Arial" w:hAnsi="Arial" w:cs="Arial"/>
              </w:rPr>
            </w:pPr>
          </w:p>
        </w:tc>
      </w:tr>
      <w:tr w:rsidR="000A196B" w:rsidRPr="001B13BD" w14:paraId="6422183F" w14:textId="77777777" w:rsidTr="008665FA">
        <w:tc>
          <w:tcPr>
            <w:tcW w:w="9265" w:type="dxa"/>
            <w:gridSpan w:val="2"/>
          </w:tcPr>
          <w:p w14:paraId="307A6FDC" w14:textId="5ACABA7F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0A196B" w:rsidRPr="001B13BD" w14:paraId="4180F98C" w14:textId="77777777" w:rsidTr="008665FA">
        <w:tc>
          <w:tcPr>
            <w:tcW w:w="4508" w:type="dxa"/>
          </w:tcPr>
          <w:p w14:paraId="0B09141D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76554D3C" w14:textId="77777777" w:rsidR="000A196B" w:rsidRPr="001B13BD" w:rsidRDefault="000A196B" w:rsidP="008665F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0A196B" w:rsidRPr="001B13BD" w14:paraId="11310014" w14:textId="77777777" w:rsidTr="008665FA">
        <w:tc>
          <w:tcPr>
            <w:tcW w:w="4508" w:type="dxa"/>
          </w:tcPr>
          <w:p w14:paraId="3FFAD216" w14:textId="43EDB3D0" w:rsidR="00616055" w:rsidRPr="001B13BD" w:rsidRDefault="00C05670" w:rsidP="0061605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Tim P2TB Provinsi</w:t>
            </w:r>
            <w:r w:rsidR="00616055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="00616055" w:rsidRPr="001B13BD">
              <w:rPr>
                <w:rFonts w:ascii="Arial" w:hAnsi="Arial" w:cs="Arial"/>
              </w:rPr>
              <w:t>tim</w:t>
            </w:r>
            <w:proofErr w:type="spellEnd"/>
            <w:r w:rsidR="00616055" w:rsidRPr="001B13BD">
              <w:rPr>
                <w:rFonts w:ascii="Arial" w:hAnsi="Arial" w:cs="Arial"/>
              </w:rPr>
              <w:t xml:space="preserve"> lain terkait</w:t>
            </w:r>
          </w:p>
          <w:p w14:paraId="3D5A5A31" w14:textId="58E1C9CA" w:rsidR="00F11962" w:rsidRPr="001B13BD" w:rsidRDefault="00F11962" w:rsidP="006160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1A0191BE" w14:textId="1117F93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</w:rPr>
              <w:t>Tim PMDT Pusat (Focal Point dan TO PMDT Pusat)</w:t>
            </w:r>
          </w:p>
          <w:p w14:paraId="5FC0BE32" w14:textId="4C036049" w:rsidR="00616055" w:rsidRPr="001B13BD" w:rsidRDefault="00616055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Dinas Kesehatan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Kabupaten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>/Kota</w:t>
            </w:r>
          </w:p>
          <w:p w14:paraId="78E727F1" w14:textId="4A1CDC3B" w:rsidR="000A196B" w:rsidRPr="001B13BD" w:rsidRDefault="00F11962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Fasilitas Kesehatan/ </w:t>
            </w:r>
            <w:proofErr w:type="spellStart"/>
            <w:r w:rsidR="000A196B" w:rsidRPr="001B13BD">
              <w:rPr>
                <w:rFonts w:ascii="Arial" w:hAnsi="Arial" w:cs="Arial"/>
                <w:color w:val="000000"/>
              </w:rPr>
              <w:t>Rumah</w:t>
            </w:r>
            <w:proofErr w:type="spellEnd"/>
            <w:r w:rsidR="000A196B" w:rsidRPr="001B13BD">
              <w:rPr>
                <w:rFonts w:ascii="Arial" w:hAnsi="Arial" w:cs="Arial"/>
                <w:color w:val="000000"/>
              </w:rPr>
              <w:t xml:space="preserve"> Sakit</w:t>
            </w:r>
            <w:r w:rsidR="00616055" w:rsidRPr="001B13BD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="00616055" w:rsidRPr="001B13BD">
              <w:rPr>
                <w:rFonts w:ascii="Arial" w:hAnsi="Arial" w:cs="Arial"/>
                <w:color w:val="000000"/>
              </w:rPr>
              <w:t>Puskesmas</w:t>
            </w:r>
            <w:proofErr w:type="spellEnd"/>
            <w:r w:rsidR="00616055" w:rsidRPr="001B13BD">
              <w:rPr>
                <w:rFonts w:ascii="Arial" w:hAnsi="Arial" w:cs="Arial"/>
                <w:color w:val="000000"/>
              </w:rPr>
              <w:t>/ Lab Rujukan TB</w:t>
            </w:r>
          </w:p>
          <w:p w14:paraId="62A296C9" w14:textId="77777777" w:rsidR="005A075C" w:rsidRPr="001B13BD" w:rsidRDefault="000A196B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 xml:space="preserve">LSM dan </w:t>
            </w:r>
            <w:proofErr w:type="spellStart"/>
            <w:r w:rsidRPr="001B13BD">
              <w:rPr>
                <w:rFonts w:ascii="Arial" w:hAnsi="Arial" w:cs="Arial"/>
                <w:color w:val="000000"/>
              </w:rPr>
              <w:t>Komunitas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</w:t>
            </w:r>
          </w:p>
          <w:p w14:paraId="7FC1FEA8" w14:textId="77777777" w:rsidR="005A075C" w:rsidRPr="001B13BD" w:rsidRDefault="005A075C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r w:rsidRPr="001B13BD">
              <w:rPr>
                <w:rFonts w:ascii="Arial" w:hAnsi="Arial" w:cs="Arial"/>
                <w:color w:val="000000"/>
              </w:rPr>
              <w:t>BPJS Kesehatan</w:t>
            </w:r>
          </w:p>
          <w:p w14:paraId="25B0F844" w14:textId="1C6AA8B4" w:rsidR="005A075C" w:rsidRPr="001B13BD" w:rsidRDefault="00616055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B13BD">
              <w:rPr>
                <w:rFonts w:ascii="Arial" w:hAnsi="Arial" w:cs="Arial"/>
                <w:color w:val="000000"/>
              </w:rPr>
              <w:t>Instansi</w:t>
            </w:r>
            <w:proofErr w:type="spellEnd"/>
            <w:r w:rsidRPr="001B13BD">
              <w:rPr>
                <w:rFonts w:ascii="Arial" w:hAnsi="Arial" w:cs="Arial"/>
                <w:color w:val="000000"/>
              </w:rPr>
              <w:t xml:space="preserve"> terkait lainnya</w:t>
            </w:r>
          </w:p>
        </w:tc>
      </w:tr>
      <w:tr w:rsidR="000A196B" w:rsidRPr="001B13BD" w14:paraId="7218054E" w14:textId="77777777" w:rsidTr="008665FA">
        <w:tc>
          <w:tcPr>
            <w:tcW w:w="9265" w:type="dxa"/>
            <w:gridSpan w:val="2"/>
          </w:tcPr>
          <w:p w14:paraId="1FDCBBA9" w14:textId="0A6740BD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0A196B" w:rsidRPr="001B13BD" w14:paraId="0AF0CABB" w14:textId="77777777" w:rsidTr="008665FA">
        <w:tc>
          <w:tcPr>
            <w:tcW w:w="4508" w:type="dxa"/>
          </w:tcPr>
          <w:p w14:paraId="1E90630B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24347171" w14:textId="77777777" w:rsidR="000A196B" w:rsidRPr="001B13BD" w:rsidRDefault="000A196B" w:rsidP="008665FA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1B13BD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0A196B" w:rsidRPr="001B13BD" w14:paraId="7CD87805" w14:textId="77777777" w:rsidTr="008665FA">
        <w:tc>
          <w:tcPr>
            <w:tcW w:w="4508" w:type="dxa"/>
          </w:tcPr>
          <w:p w14:paraId="529E10C5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Pengelolaan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anggaran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40F25871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Persetujuan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  <w:p w14:paraId="14F62F2F" w14:textId="6E6C215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Pelaporan &amp; </w:t>
            </w:r>
            <w:proofErr w:type="spellStart"/>
            <w:r w:rsidRPr="001B13BD">
              <w:rPr>
                <w:rFonts w:ascii="Arial" w:hAnsi="Arial" w:cs="Arial"/>
              </w:rPr>
              <w:t>wewenang</w:t>
            </w:r>
            <w:proofErr w:type="spellEnd"/>
            <w:r w:rsidRPr="001B13BD">
              <w:rPr>
                <w:rFonts w:ascii="Arial" w:hAnsi="Arial" w:cs="Arial"/>
              </w:rPr>
              <w:t>: -</w:t>
            </w:r>
          </w:p>
        </w:tc>
        <w:tc>
          <w:tcPr>
            <w:tcW w:w="4757" w:type="dxa"/>
          </w:tcPr>
          <w:p w14:paraId="437CDAD7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langsung: -</w:t>
            </w:r>
          </w:p>
          <w:p w14:paraId="27E44FDC" w14:textId="77777777" w:rsidR="000A196B" w:rsidRPr="001B13BD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Bawahan</w:t>
            </w:r>
            <w:proofErr w:type="spellEnd"/>
            <w:r w:rsidRPr="001B13BD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1B904BBD" w14:textId="09B640F2" w:rsidR="000A196B" w:rsidRPr="001B13BD" w:rsidRDefault="000A196B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1B13BD" w14:paraId="3509FDED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79F82CBC" w:rsidR="00AD203E" w:rsidRPr="001B13BD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0A196B" w:rsidRPr="001B13BD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8A10FD"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1B13BD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1B13BD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1B13BD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1B13BD" w14:paraId="38ACA03E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EC4" w14:textId="12408216" w:rsidR="00CC33FF" w:rsidRPr="001B13BD" w:rsidRDefault="00CC33FF" w:rsidP="00CC33FF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Memberikan bantuan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adanya 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integrasi</w:t>
            </w:r>
            <w:proofErr w:type="spellEnd"/>
            <w:r w:rsidRPr="001B13BD">
              <w:rPr>
                <w:rFonts w:ascii="Arial" w:hAnsi="Arial" w:cs="Arial"/>
              </w:rPr>
              <w:t xml:space="preserve">  dan</w:t>
            </w:r>
            <w:proofErr w:type="gram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kegiatan TB MDR di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perencanaan</w:t>
            </w:r>
            <w:proofErr w:type="spellEnd"/>
            <w:r w:rsidRPr="001B13BD">
              <w:rPr>
                <w:rFonts w:ascii="Arial" w:hAnsi="Arial" w:cs="Arial"/>
              </w:rPr>
              <w:t xml:space="preserve"> strategi dan monitoring, </w:t>
            </w:r>
            <w:proofErr w:type="spellStart"/>
            <w:r w:rsidRPr="001B13BD">
              <w:rPr>
                <w:rFonts w:ascii="Arial" w:hAnsi="Arial" w:cs="Arial"/>
              </w:rPr>
              <w:t>mempersiapkan</w:t>
            </w:r>
            <w:proofErr w:type="spellEnd"/>
            <w:r w:rsidRPr="001B13BD">
              <w:rPr>
                <w:rFonts w:ascii="Arial" w:hAnsi="Arial" w:cs="Arial"/>
              </w:rPr>
              <w:t xml:space="preserve"> rencana kerja/</w:t>
            </w:r>
            <w:proofErr w:type="spellStart"/>
            <w:r w:rsidRPr="001B13BD">
              <w:rPr>
                <w:rFonts w:ascii="Arial" w:hAnsi="Arial" w:cs="Arial"/>
              </w:rPr>
              <w:t>pemilihan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berdasarkan rencana </w:t>
            </w:r>
            <w:proofErr w:type="spellStart"/>
            <w:r w:rsidRPr="001B13BD">
              <w:rPr>
                <w:rFonts w:ascii="Arial" w:hAnsi="Arial" w:cs="Arial"/>
              </w:rPr>
              <w:t>strategis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nasional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serta</w:t>
            </w:r>
            <w:proofErr w:type="spellEnd"/>
            <w:r w:rsidRPr="001B13BD">
              <w:rPr>
                <w:rFonts w:ascii="Arial" w:hAnsi="Arial" w:cs="Arial"/>
              </w:rPr>
              <w:t xml:space="preserve"> dukungan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pembuatan </w:t>
            </w:r>
            <w:proofErr w:type="spellStart"/>
            <w:r w:rsidRPr="001B13BD">
              <w:rPr>
                <w:rFonts w:ascii="Arial" w:hAnsi="Arial" w:cs="Arial"/>
              </w:rPr>
              <w:t>keputusan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mobilisasi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daya</w:t>
            </w:r>
            <w:proofErr w:type="spellEnd"/>
            <w:r w:rsidRPr="001B13BD">
              <w:rPr>
                <w:rFonts w:ascii="Arial" w:hAnsi="Arial" w:cs="Arial"/>
              </w:rPr>
              <w:t xml:space="preserve"> sesuai dengan </w:t>
            </w:r>
            <w:proofErr w:type="spellStart"/>
            <w:r w:rsidRPr="001B13BD">
              <w:rPr>
                <w:rFonts w:ascii="Arial" w:hAnsi="Arial" w:cs="Arial"/>
              </w:rPr>
              <w:t>prioritas</w:t>
            </w:r>
            <w:proofErr w:type="spellEnd"/>
            <w:r w:rsidRPr="001B13BD">
              <w:rPr>
                <w:rFonts w:ascii="Arial" w:hAnsi="Arial" w:cs="Arial"/>
              </w:rPr>
              <w:t xml:space="preserve"> TB MDR.</w:t>
            </w:r>
          </w:p>
          <w:p w14:paraId="35457DB6" w14:textId="28F9229E" w:rsidR="00BF392D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seluruh data pasien TB RO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lengkap di SITB (mulai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terdiagnosis</w:t>
            </w:r>
            <w:proofErr w:type="spellEnd"/>
            <w:r w:rsidRPr="001B13BD">
              <w:rPr>
                <w:rFonts w:ascii="Arial" w:hAnsi="Arial" w:cs="Arial"/>
              </w:rPr>
              <w:t xml:space="preserve"> hingga hasil </w:t>
            </w:r>
            <w:proofErr w:type="spellStart"/>
            <w:r w:rsidRPr="001B13BD">
              <w:rPr>
                <w:rFonts w:ascii="Arial" w:hAnsi="Arial" w:cs="Arial"/>
              </w:rPr>
              <w:t>akhir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4F90020" w14:textId="7777777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koordinasi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FA/DAFA dan </w:t>
            </w:r>
            <w:proofErr w:type="spellStart"/>
            <w:r w:rsidRPr="001B13BD">
              <w:rPr>
                <w:rFonts w:ascii="Arial" w:hAnsi="Arial" w:cs="Arial"/>
              </w:rPr>
              <w:t>bagian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keuangan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dan pihak lain yang terkait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penagihan</w:t>
            </w:r>
            <w:proofErr w:type="spellEnd"/>
            <w:r w:rsidRPr="001B13BD">
              <w:rPr>
                <w:rFonts w:ascii="Arial" w:hAnsi="Arial" w:cs="Arial"/>
              </w:rPr>
              <w:t xml:space="preserve"> dan pembayaran biaya-biaya terkait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7C23274A" w14:textId="631315A6" w:rsidR="00CB0524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seluruh pasien TB RO di 34 provinsi </w:t>
            </w:r>
            <w:r w:rsidR="00C206D7" w:rsidRPr="001B13BD">
              <w:rPr>
                <w:rFonts w:ascii="Arial" w:hAnsi="Arial" w:cs="Arial"/>
              </w:rPr>
              <w:t>(</w:t>
            </w:r>
            <w:r w:rsidRPr="001B13BD">
              <w:rPr>
                <w:rFonts w:ascii="Arial" w:hAnsi="Arial" w:cs="Arial"/>
              </w:rPr>
              <w:t>334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mendapatkan enabler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 (termasuk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persiapan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edukasi</w:t>
            </w:r>
            <w:proofErr w:type="spellEnd"/>
            <w:r w:rsidRPr="001B13BD">
              <w:rPr>
                <w:rFonts w:ascii="Arial" w:hAnsi="Arial" w:cs="Arial"/>
              </w:rPr>
              <w:t xml:space="preserve"> tentang enabler sejak pasien mendapat hasil </w:t>
            </w:r>
            <w:proofErr w:type="spellStart"/>
            <w:r w:rsidRPr="001B13BD">
              <w:rPr>
                <w:rFonts w:ascii="Arial" w:hAnsi="Arial" w:cs="Arial"/>
              </w:rPr>
              <w:t>pemeriksaan</w:t>
            </w:r>
            <w:proofErr w:type="spellEnd"/>
            <w:r w:rsidRPr="001B13BD">
              <w:rPr>
                <w:rFonts w:ascii="Arial" w:hAnsi="Arial" w:cs="Arial"/>
              </w:rPr>
              <w:t xml:space="preserve"> lab MTB Pos Rif Res, </w:t>
            </w:r>
            <w:proofErr w:type="spellStart"/>
            <w:r w:rsidRPr="001B13BD">
              <w:rPr>
                <w:rFonts w:ascii="Arial" w:hAnsi="Arial" w:cs="Arial"/>
              </w:rPr>
              <w:t>fasilitasi</w:t>
            </w:r>
            <w:proofErr w:type="spellEnd"/>
            <w:r w:rsidRPr="001B13BD">
              <w:rPr>
                <w:rFonts w:ascii="Arial" w:hAnsi="Arial" w:cs="Arial"/>
              </w:rPr>
              <w:t xml:space="preserve"> mekanisme pemberian enabler sesuai </w:t>
            </w:r>
            <w:proofErr w:type="spellStart"/>
            <w:r w:rsidRPr="001B13BD">
              <w:rPr>
                <w:rFonts w:ascii="Arial" w:hAnsi="Arial" w:cs="Arial"/>
              </w:rPr>
              <w:t>kondisi</w:t>
            </w:r>
            <w:proofErr w:type="spellEnd"/>
            <w:r w:rsidRPr="001B13BD">
              <w:rPr>
                <w:rFonts w:ascii="Arial" w:hAnsi="Arial" w:cs="Arial"/>
              </w:rPr>
              <w:t xml:space="preserve"> provinsi masing - masing; </w:t>
            </w:r>
            <w:proofErr w:type="spellStart"/>
            <w:r w:rsidRPr="001B13BD">
              <w:rPr>
                <w:rFonts w:ascii="Arial" w:hAnsi="Arial" w:cs="Arial"/>
              </w:rPr>
              <w:t>misal</w:t>
            </w:r>
            <w:proofErr w:type="spellEnd"/>
            <w:r w:rsidRPr="001B13BD">
              <w:rPr>
                <w:rFonts w:ascii="Arial" w:hAnsi="Arial" w:cs="Arial"/>
              </w:rPr>
              <w:t xml:space="preserve"> transfer ke </w:t>
            </w:r>
            <w:proofErr w:type="spellStart"/>
            <w:r w:rsidRPr="001B13BD">
              <w:rPr>
                <w:rFonts w:ascii="Arial" w:hAnsi="Arial" w:cs="Arial"/>
              </w:rPr>
              <w:t>rek</w:t>
            </w:r>
            <w:proofErr w:type="spellEnd"/>
            <w:r w:rsidRPr="001B13BD">
              <w:rPr>
                <w:rFonts w:ascii="Arial" w:hAnsi="Arial" w:cs="Arial"/>
              </w:rPr>
              <w:t xml:space="preserve"> pasien atau </w:t>
            </w:r>
            <w:proofErr w:type="spellStart"/>
            <w:r w:rsidRPr="001B13BD">
              <w:rPr>
                <w:rFonts w:ascii="Arial" w:hAnsi="Arial" w:cs="Arial"/>
              </w:rPr>
              <w:t>wessel</w:t>
            </w:r>
            <w:proofErr w:type="spellEnd"/>
            <w:r w:rsidRPr="001B13BD">
              <w:rPr>
                <w:rFonts w:ascii="Arial" w:hAnsi="Arial" w:cs="Arial"/>
              </w:rPr>
              <w:t xml:space="preserve"> pos, </w:t>
            </w:r>
            <w:proofErr w:type="spellStart"/>
            <w:r w:rsidRPr="001B13BD">
              <w:rPr>
                <w:rFonts w:ascii="Arial" w:hAnsi="Arial" w:cs="Arial"/>
              </w:rPr>
              <w:t>identifikasi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masalah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merencanakan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perbaikan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transisi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enabler di 190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dukungan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pada t</w:t>
            </w:r>
            <w:r w:rsidR="00C206D7" w:rsidRPr="001B13BD">
              <w:rPr>
                <w:rFonts w:ascii="Arial" w:hAnsi="Arial" w:cs="Arial"/>
              </w:rPr>
              <w:t>ahun</w:t>
            </w:r>
            <w:r w:rsidRPr="001B13BD">
              <w:rPr>
                <w:rFonts w:ascii="Arial" w:hAnsi="Arial" w:cs="Arial"/>
              </w:rPr>
              <w:t xml:space="preserve"> kedua dan </w:t>
            </w:r>
            <w:proofErr w:type="spellStart"/>
            <w:r w:rsidRPr="001B13BD">
              <w:rPr>
                <w:rFonts w:ascii="Arial" w:hAnsi="Arial" w:cs="Arial"/>
              </w:rPr>
              <w:t>ketiga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  <w:p w14:paraId="4E009199" w14:textId="512C3801" w:rsidR="00DC43BB" w:rsidRPr="001B13BD" w:rsidRDefault="00C632C9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Melakukan </w:t>
            </w:r>
            <w:proofErr w:type="spellStart"/>
            <w:r w:rsidRPr="001B13BD">
              <w:rPr>
                <w:rFonts w:ascii="Arial" w:hAnsi="Arial" w:cs="Arial"/>
              </w:rPr>
              <w:t>advokasi</w:t>
            </w:r>
            <w:proofErr w:type="spellEnd"/>
            <w:r w:rsidRPr="001B13BD">
              <w:rPr>
                <w:rFonts w:ascii="Arial" w:hAnsi="Arial" w:cs="Arial"/>
              </w:rPr>
              <w:t xml:space="preserve"> kepada </w:t>
            </w:r>
            <w:proofErr w:type="spellStart"/>
            <w:r w:rsidRPr="001B13BD">
              <w:rPr>
                <w:rFonts w:ascii="Arial" w:hAnsi="Arial" w:cs="Arial"/>
              </w:rPr>
              <w:t>pemerintah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daerah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setempat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memulai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2888DED4" w14:textId="4FCB3CD7" w:rsidR="00DC43BB" w:rsidRPr="001B13B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Memfasilitasi</w:t>
            </w:r>
            <w:proofErr w:type="spellEnd"/>
            <w:r w:rsidRPr="001B13BD">
              <w:rPr>
                <w:rFonts w:ascii="Arial" w:hAnsi="Arial" w:cs="Arial"/>
              </w:rPr>
              <w:t xml:space="preserve"> proses </w:t>
            </w:r>
            <w:proofErr w:type="spellStart"/>
            <w:r w:rsidRPr="001B13BD">
              <w:rPr>
                <w:rFonts w:ascii="Arial" w:hAnsi="Arial" w:cs="Arial"/>
              </w:rPr>
              <w:t>desentralisasi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ke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(termasuk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nakes</w:t>
            </w:r>
            <w:proofErr w:type="spellEnd"/>
            <w:r w:rsidRPr="001B13BD">
              <w:rPr>
                <w:rFonts w:ascii="Arial" w:hAnsi="Arial" w:cs="Arial"/>
              </w:rPr>
              <w:t xml:space="preserve"> di semua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sudah mendapatkan pelatihan/OJT terkait TB RO)</w:t>
            </w:r>
          </w:p>
          <w:p w14:paraId="42E9DC72" w14:textId="69A17227" w:rsidR="00CC33FF" w:rsidRPr="001B13BD" w:rsidRDefault="00CC33FF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</w:t>
            </w:r>
            <w:r w:rsidR="00C632C9" w:rsidRPr="001B13BD">
              <w:rPr>
                <w:rFonts w:ascii="Arial" w:hAnsi="Arial" w:cs="Arial"/>
              </w:rPr>
              <w:t xml:space="preserve">untuk </w:t>
            </w:r>
            <w:proofErr w:type="spellStart"/>
            <w:r w:rsidR="00C632C9" w:rsidRPr="001B13BD">
              <w:rPr>
                <w:rFonts w:ascii="Arial" w:hAnsi="Arial" w:cs="Arial"/>
              </w:rPr>
              <w:t>fasyankes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="00C632C9" w:rsidRPr="001B13BD">
              <w:rPr>
                <w:rFonts w:ascii="Arial" w:hAnsi="Arial" w:cs="Arial"/>
              </w:rPr>
              <w:t>akan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memulai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C632C9" w:rsidRPr="001B13BD">
              <w:rPr>
                <w:rFonts w:ascii="Arial" w:hAnsi="Arial" w:cs="Arial"/>
              </w:rPr>
              <w:t>layanan</w:t>
            </w:r>
            <w:proofErr w:type="spellEnd"/>
            <w:r w:rsidR="00C632C9" w:rsidRPr="001B13BD">
              <w:rPr>
                <w:rFonts w:ascii="Arial" w:hAnsi="Arial" w:cs="Arial"/>
              </w:rPr>
              <w:t xml:space="preserve"> TB RO</w:t>
            </w:r>
          </w:p>
          <w:p w14:paraId="6C1E33E9" w14:textId="5166F8BC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</w:t>
            </w:r>
            <w:proofErr w:type="spellStart"/>
            <w:r w:rsidRPr="001B13BD">
              <w:rPr>
                <w:rFonts w:ascii="Arial" w:hAnsi="Arial" w:cs="Arial"/>
              </w:rPr>
              <w:t>konseling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/provinsi bagi </w:t>
            </w:r>
            <w:proofErr w:type="spellStart"/>
            <w:r w:rsidRPr="001B13BD">
              <w:rPr>
                <w:rFonts w:ascii="Arial" w:hAnsi="Arial" w:cs="Arial"/>
              </w:rPr>
              <w:t>tenaga</w:t>
            </w:r>
            <w:proofErr w:type="spellEnd"/>
            <w:r w:rsidRPr="001B13BD">
              <w:rPr>
                <w:rFonts w:ascii="Arial" w:hAnsi="Arial" w:cs="Arial"/>
              </w:rPr>
              <w:t xml:space="preserve"> kesehatan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belum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/baru berjalan</w:t>
            </w:r>
          </w:p>
          <w:p w14:paraId="76613270" w14:textId="09D8F358" w:rsidR="00C632C9" w:rsidRPr="001B13BD" w:rsidRDefault="00C632C9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pelatihan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yang belum </w:t>
            </w:r>
            <w:proofErr w:type="spellStart"/>
            <w:r w:rsidRPr="001B13BD">
              <w:rPr>
                <w:rFonts w:ascii="Arial" w:hAnsi="Arial" w:cs="Arial"/>
              </w:rPr>
              <w:t>dilatih</w:t>
            </w:r>
            <w:proofErr w:type="spellEnd"/>
            <w:r w:rsidRPr="001B13BD">
              <w:rPr>
                <w:rFonts w:ascii="Arial" w:hAnsi="Arial" w:cs="Arial"/>
              </w:rPr>
              <w:t>/baru berjalan</w:t>
            </w:r>
          </w:p>
          <w:p w14:paraId="71D2611F" w14:textId="6E3275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 Tim</w:t>
            </w:r>
            <w:proofErr w:type="gramEnd"/>
            <w:r w:rsidRPr="001B13BD">
              <w:rPr>
                <w:rFonts w:ascii="Arial" w:hAnsi="Arial" w:cs="Arial"/>
              </w:rPr>
              <w:t xml:space="preserve"> TB RO yang berhak mendapatkan dukungan reward </w:t>
            </w:r>
            <w:proofErr w:type="spellStart"/>
            <w:r w:rsidRPr="001B13BD">
              <w:rPr>
                <w:rFonts w:ascii="Arial" w:hAnsi="Arial" w:cs="Arial"/>
              </w:rPr>
              <w:t>mendapatkannya</w:t>
            </w:r>
            <w:proofErr w:type="spellEnd"/>
            <w:r w:rsidRPr="001B13BD">
              <w:rPr>
                <w:rFonts w:ascii="Arial" w:hAnsi="Arial" w:cs="Arial"/>
              </w:rPr>
              <w:t xml:space="preserve"> sesuai dengan ketentuan yang berlaku</w:t>
            </w:r>
          </w:p>
          <w:p w14:paraId="354D3A02" w14:textId="49B30A7B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Mendukung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C206D7" w:rsidRPr="001B13BD">
              <w:rPr>
                <w:rFonts w:ascii="Arial" w:hAnsi="Arial" w:cs="Arial"/>
              </w:rPr>
              <w:t xml:space="preserve">dan </w:t>
            </w:r>
            <w:proofErr w:type="spellStart"/>
            <w:r w:rsidR="00C206D7" w:rsidRPr="001B13BD">
              <w:rPr>
                <w:rFonts w:ascii="Arial" w:hAnsi="Arial" w:cs="Arial"/>
              </w:rPr>
              <w:t>menguatkan</w:t>
            </w:r>
            <w:proofErr w:type="spellEnd"/>
            <w:r w:rsidR="00C206D7"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jejaring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antara</w:t>
            </w:r>
            <w:proofErr w:type="spellEnd"/>
            <w:r w:rsidRPr="001B13BD">
              <w:rPr>
                <w:rFonts w:ascii="Arial" w:hAnsi="Arial" w:cs="Arial"/>
              </w:rPr>
              <w:t xml:space="preserve"> RS dan </w:t>
            </w:r>
            <w:proofErr w:type="spellStart"/>
            <w:r w:rsidRPr="001B13BD">
              <w:rPr>
                <w:rFonts w:ascii="Arial" w:hAnsi="Arial" w:cs="Arial"/>
              </w:rPr>
              <w:t>Satelit</w:t>
            </w:r>
            <w:proofErr w:type="spellEnd"/>
            <w:r w:rsidRPr="001B13BD">
              <w:rPr>
                <w:rFonts w:ascii="Arial" w:hAnsi="Arial" w:cs="Arial"/>
              </w:rPr>
              <w:t xml:space="preserve"> untuk meningkatkan </w:t>
            </w:r>
            <w:proofErr w:type="spellStart"/>
            <w:r w:rsidRPr="001B13BD">
              <w:rPr>
                <w:rFonts w:ascii="Arial" w:hAnsi="Arial" w:cs="Arial"/>
              </w:rPr>
              <w:t>keberhasilan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pengobatan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</w:t>
            </w:r>
          </w:p>
          <w:p w14:paraId="62002CD2" w14:textId="3BC46CD9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eastAsia="Calibri" w:hAnsi="Arial" w:cs="Arial"/>
              </w:rPr>
              <w:t>Melaksanakan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kegiatan audit </w:t>
            </w:r>
            <w:proofErr w:type="spellStart"/>
            <w:r w:rsidRPr="001B13BD">
              <w:rPr>
                <w:rFonts w:ascii="Arial" w:eastAsia="Calibri" w:hAnsi="Arial" w:cs="Arial"/>
              </w:rPr>
              <w:t>klinis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di </w:t>
            </w:r>
            <w:proofErr w:type="spellStart"/>
            <w:r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Pr="001B13BD">
              <w:rPr>
                <w:rFonts w:ascii="Arial" w:eastAsia="Calibri" w:hAnsi="Arial" w:cs="Arial"/>
              </w:rPr>
              <w:t xml:space="preserve"> TB RO 1x per tahun</w:t>
            </w:r>
          </w:p>
          <w:p w14:paraId="7990A4A2" w14:textId="7C244AAA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C206D7" w:rsidRPr="001B13BD">
              <w:rPr>
                <w:rFonts w:ascii="Arial" w:hAnsi="Arial" w:cs="Arial"/>
              </w:rPr>
              <w:t>m</w:t>
            </w:r>
            <w:r w:rsidR="008B76BA" w:rsidRPr="001B13BD">
              <w:rPr>
                <w:rFonts w:ascii="Arial" w:hAnsi="Arial" w:cs="Arial"/>
              </w:rPr>
              <w:t>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pelaksanaan kegiatan</w:t>
            </w:r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minicohort</w:t>
            </w:r>
            <w:proofErr w:type="spellEnd"/>
            <w:r w:rsidRPr="001B13BD">
              <w:rPr>
                <w:rFonts w:ascii="Arial" w:hAnsi="Arial" w:cs="Arial"/>
              </w:rPr>
              <w:t xml:space="preserve">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</w:t>
            </w:r>
          </w:p>
          <w:p w14:paraId="07268914" w14:textId="57A5420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</w:t>
            </w:r>
            <w:r w:rsidR="008B76BA" w:rsidRPr="001B13BD">
              <w:rPr>
                <w:rFonts w:ascii="Arial" w:hAnsi="Arial" w:cs="Arial"/>
              </w:rPr>
              <w:t>mfasilitasi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pelaksanaan</w:t>
            </w:r>
            <w:r w:rsidRPr="001B13BD">
              <w:rPr>
                <w:rFonts w:ascii="Arial" w:hAnsi="Arial" w:cs="Arial"/>
              </w:rPr>
              <w:t xml:space="preserve"> kegiatan MICA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kab/</w:t>
            </w:r>
            <w:proofErr w:type="spellStart"/>
            <w:proofErr w:type="gram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setiap bulan (</w:t>
            </w:r>
            <w:proofErr w:type="spellStart"/>
            <w:r w:rsidRPr="001B13BD">
              <w:rPr>
                <w:rFonts w:ascii="Arial" w:hAnsi="Arial" w:cs="Arial"/>
              </w:rPr>
              <w:t>berkolaborasi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TB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  <w:p w14:paraId="729ACFCB" w14:textId="01D75122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Pembentukan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provinsi (yang </w:t>
            </w:r>
            <w:proofErr w:type="spellStart"/>
            <w:r w:rsidRPr="001B13BD">
              <w:rPr>
                <w:rFonts w:ascii="Arial" w:hAnsi="Arial" w:cs="Arial"/>
              </w:rPr>
              <w:t>terdiri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, </w:t>
            </w:r>
            <w:proofErr w:type="spellStart"/>
            <w:r w:rsidRPr="001B13BD">
              <w:rPr>
                <w:rFonts w:ascii="Arial" w:hAnsi="Arial" w:cs="Arial"/>
              </w:rPr>
              <w:t>klinisi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mitra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teknis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 yang </w:t>
            </w:r>
            <w:proofErr w:type="spellStart"/>
            <w:r w:rsidRPr="001B13BD">
              <w:rPr>
                <w:rFonts w:ascii="Arial" w:hAnsi="Arial" w:cs="Arial"/>
              </w:rPr>
              <w:t>terlibat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program TB) yang </w:t>
            </w:r>
            <w:proofErr w:type="spellStart"/>
            <w:r w:rsidRPr="001B13BD">
              <w:rPr>
                <w:rFonts w:ascii="Arial" w:hAnsi="Arial" w:cs="Arial"/>
              </w:rPr>
              <w:t>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  <w:p w14:paraId="3C503CCD" w14:textId="56505A50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="008B76BA" w:rsidRPr="001B13BD">
              <w:rPr>
                <w:rFonts w:ascii="Arial" w:hAnsi="Arial" w:cs="Arial"/>
              </w:rPr>
              <w:t xml:space="preserve"> </w:t>
            </w:r>
            <w:r w:rsidR="008B76BA" w:rsidRPr="001B13BD">
              <w:rPr>
                <w:rFonts w:ascii="Arial" w:eastAsia="Calibri" w:hAnsi="Arial" w:cs="Arial"/>
              </w:rPr>
              <w:t xml:space="preserve">di </w:t>
            </w:r>
            <w:proofErr w:type="spellStart"/>
            <w:r w:rsidR="008B76BA" w:rsidRPr="001B13BD">
              <w:rPr>
                <w:rFonts w:ascii="Arial" w:eastAsia="Calibri" w:hAnsi="Arial" w:cs="Arial"/>
              </w:rPr>
              <w:t>fasyankes</w:t>
            </w:r>
            <w:proofErr w:type="spellEnd"/>
            <w:r w:rsidR="008B76BA" w:rsidRPr="001B13BD">
              <w:rPr>
                <w:rFonts w:ascii="Arial" w:eastAsia="Calibri" w:hAnsi="Arial" w:cs="Arial"/>
              </w:rPr>
              <w:t xml:space="preserve"> TB RO 1x per tahun</w:t>
            </w:r>
          </w:p>
          <w:p w14:paraId="716AB373" w14:textId="569B4E01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Melaksanakan</w:t>
            </w:r>
            <w:proofErr w:type="spellEnd"/>
            <w:r w:rsidRPr="001B13BD">
              <w:rPr>
                <w:rFonts w:ascii="Arial" w:hAnsi="Arial" w:cs="Arial"/>
              </w:rPr>
              <w:t xml:space="preserve"> kegiatan pertemuan dengan BPJS Kesehatan untuk membahas dukungan </w:t>
            </w:r>
            <w:proofErr w:type="spellStart"/>
            <w:r w:rsidRPr="001B13BD">
              <w:rPr>
                <w:rFonts w:ascii="Arial" w:hAnsi="Arial" w:cs="Arial"/>
              </w:rPr>
              <w:t>pembiayaan</w:t>
            </w:r>
            <w:proofErr w:type="spellEnd"/>
            <w:r w:rsidRPr="001B13BD">
              <w:rPr>
                <w:rFonts w:ascii="Arial" w:hAnsi="Arial" w:cs="Arial"/>
              </w:rPr>
              <w:t xml:space="preserve"> TB/TB RO di </w:t>
            </w:r>
            <w:proofErr w:type="spellStart"/>
            <w:r w:rsidRPr="001B13BD">
              <w:rPr>
                <w:rFonts w:ascii="Arial" w:hAnsi="Arial" w:cs="Arial"/>
              </w:rPr>
              <w:t>tingkat</w:t>
            </w:r>
            <w:proofErr w:type="spellEnd"/>
            <w:r w:rsidRPr="001B13BD">
              <w:rPr>
                <w:rFonts w:ascii="Arial" w:hAnsi="Arial" w:cs="Arial"/>
              </w:rPr>
              <w:t xml:space="preserve"> provinsi (</w:t>
            </w:r>
            <w:proofErr w:type="spellStart"/>
            <w:r w:rsidRPr="001B13BD">
              <w:rPr>
                <w:rFonts w:ascii="Arial" w:hAnsi="Arial" w:cs="Arial"/>
              </w:rPr>
              <w:t>kolaborasi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PPM Provinsi)</w:t>
            </w:r>
          </w:p>
          <w:p w14:paraId="645D97AA" w14:textId="4B9311B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implementasi monitoring dan manajemen </w:t>
            </w:r>
            <w:proofErr w:type="spellStart"/>
            <w:r w:rsidRPr="001B13BD">
              <w:rPr>
                <w:rFonts w:ascii="Arial" w:hAnsi="Arial" w:cs="Arial"/>
              </w:rPr>
              <w:t>efek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samping</w:t>
            </w:r>
            <w:proofErr w:type="spellEnd"/>
            <w:r w:rsidRPr="001B13BD">
              <w:rPr>
                <w:rFonts w:ascii="Arial" w:hAnsi="Arial" w:cs="Arial"/>
              </w:rPr>
              <w:t xml:space="preserve"> obat secara aktif (MESO aktif)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  <w:p w14:paraId="641B60E3" w14:textId="4AD47DDF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dan pelaporan KTD melalui SITB pada semua pasien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dan non-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</w:p>
          <w:p w14:paraId="54EDA502" w14:textId="2E1B28DE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dengan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provinsi/kab/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(OAT dan non-OAT), agar tidak terjadi stock out dan over stock; </w:t>
            </w: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permintaan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ke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dilakukan tepat waktu, dan melakukan monitoring </w:t>
            </w:r>
            <w:proofErr w:type="spellStart"/>
            <w:r w:rsidRPr="001B13BD">
              <w:rPr>
                <w:rFonts w:ascii="Arial" w:hAnsi="Arial" w:cs="Arial"/>
              </w:rPr>
              <w:t>ketersediaan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secara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>.</w:t>
            </w:r>
          </w:p>
          <w:p w14:paraId="62FB904F" w14:textId="4BEA8087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lastRenderedPageBreak/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gramStart"/>
            <w:r w:rsidRPr="001B13BD">
              <w:rPr>
                <w:rFonts w:ascii="Arial" w:hAnsi="Arial" w:cs="Arial"/>
              </w:rPr>
              <w:t xml:space="preserve">proses 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transaksi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melalui SITB di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RO, </w:t>
            </w:r>
            <w:proofErr w:type="spellStart"/>
            <w:r w:rsidRPr="001B13BD">
              <w:rPr>
                <w:rFonts w:ascii="Arial" w:hAnsi="Arial" w:cs="Arial"/>
              </w:rPr>
              <w:t>dinkes</w:t>
            </w:r>
            <w:proofErr w:type="spellEnd"/>
            <w:r w:rsidRPr="001B13BD">
              <w:rPr>
                <w:rFonts w:ascii="Arial" w:hAnsi="Arial" w:cs="Arial"/>
              </w:rPr>
              <w:t xml:space="preserve"> prov/kab/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Pr="001B13BD">
              <w:rPr>
                <w:rFonts w:ascii="Arial" w:hAnsi="Arial" w:cs="Arial"/>
              </w:rPr>
              <w:t xml:space="preserve">  dilakukan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dan tepat waktu (mulai </w:t>
            </w:r>
            <w:proofErr w:type="spellStart"/>
            <w:r w:rsidRPr="001B13BD">
              <w:rPr>
                <w:rFonts w:ascii="Arial" w:hAnsi="Arial" w:cs="Arial"/>
              </w:rPr>
              <w:t>dari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pencatatan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stok</w:t>
            </w:r>
            <w:proofErr w:type="spellEnd"/>
            <w:r w:rsidRPr="001B13BD">
              <w:rPr>
                <w:rFonts w:ascii="Arial" w:hAnsi="Arial" w:cs="Arial"/>
              </w:rPr>
              <w:t xml:space="preserve">,  permintaan, pengiriman, penerimaan  dan </w:t>
            </w:r>
            <w:proofErr w:type="spellStart"/>
            <w:r w:rsidRPr="001B13BD">
              <w:rPr>
                <w:rFonts w:ascii="Arial" w:hAnsi="Arial" w:cs="Arial"/>
              </w:rPr>
              <w:t>pengeluaran</w:t>
            </w:r>
            <w:proofErr w:type="spellEnd"/>
            <w:r w:rsidRPr="001B13BD">
              <w:rPr>
                <w:rFonts w:ascii="Arial" w:hAnsi="Arial" w:cs="Arial"/>
              </w:rPr>
              <w:t>).</w:t>
            </w:r>
          </w:p>
          <w:p w14:paraId="7E51866B" w14:textId="67AE1F06" w:rsidR="00DC43BB" w:rsidRPr="001B13BD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pelaksanaan </w:t>
            </w:r>
            <w:proofErr w:type="spellStart"/>
            <w:r w:rsidRPr="001B13BD">
              <w:rPr>
                <w:rFonts w:ascii="Arial" w:hAnsi="Arial" w:cs="Arial"/>
              </w:rPr>
              <w:t>investigasi</w:t>
            </w:r>
            <w:proofErr w:type="spellEnd"/>
            <w:r w:rsidRPr="001B13BD">
              <w:rPr>
                <w:rFonts w:ascii="Arial" w:hAnsi="Arial" w:cs="Arial"/>
              </w:rPr>
              <w:t xml:space="preserve"> untuk semua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(</w:t>
            </w:r>
            <w:proofErr w:type="spellStart"/>
            <w:r w:rsidRPr="001B13BD">
              <w:rPr>
                <w:rFonts w:ascii="Arial" w:hAnsi="Arial" w:cs="Arial"/>
              </w:rPr>
              <w:t>berkoordinasi</w:t>
            </w:r>
            <w:proofErr w:type="spellEnd"/>
            <w:r w:rsidRPr="001B13BD">
              <w:rPr>
                <w:rFonts w:ascii="Arial" w:hAnsi="Arial" w:cs="Arial"/>
              </w:rPr>
              <w:t xml:space="preserve"> dengan TO TB kab/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CC33FF" w:rsidRPr="001B13BD">
              <w:rPr>
                <w:rFonts w:ascii="Arial" w:hAnsi="Arial" w:cs="Arial"/>
              </w:rPr>
              <w:t>puskesmas</w:t>
            </w:r>
            <w:proofErr w:type="spellEnd"/>
            <w:r w:rsidR="00CC33FF"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komunitas</w:t>
            </w:r>
            <w:proofErr w:type="spellEnd"/>
            <w:r w:rsidRPr="001B13BD">
              <w:rPr>
                <w:rFonts w:ascii="Arial" w:hAnsi="Arial" w:cs="Arial"/>
              </w:rPr>
              <w:t xml:space="preserve">) </w:t>
            </w:r>
          </w:p>
          <w:p w14:paraId="787842EE" w14:textId="349F82CB" w:rsidR="002477F7" w:rsidRPr="00ED7B0A" w:rsidRDefault="00DC43BB" w:rsidP="00ED7B0A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Memastikan</w:t>
            </w:r>
            <w:proofErr w:type="spellEnd"/>
            <w:r w:rsidRPr="001B13BD">
              <w:rPr>
                <w:rFonts w:ascii="Arial" w:hAnsi="Arial" w:cs="Arial"/>
              </w:rPr>
              <w:t xml:space="preserve"> pemberian </w:t>
            </w:r>
            <w:proofErr w:type="spellStart"/>
            <w:r w:rsidRPr="001B13BD">
              <w:rPr>
                <w:rFonts w:ascii="Arial" w:hAnsi="Arial" w:cs="Arial"/>
              </w:rPr>
              <w:t>terapi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pencegahan</w:t>
            </w:r>
            <w:proofErr w:type="spellEnd"/>
            <w:r w:rsidRPr="001B13BD">
              <w:rPr>
                <w:rFonts w:ascii="Arial" w:hAnsi="Arial" w:cs="Arial"/>
              </w:rPr>
              <w:t xml:space="preserve"> TB yang sesuai untuk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yang </w:t>
            </w:r>
            <w:proofErr w:type="spellStart"/>
            <w:r w:rsidRPr="001B13BD">
              <w:rPr>
                <w:rFonts w:ascii="Arial" w:hAnsi="Arial" w:cs="Arial"/>
              </w:rPr>
              <w:t>memenuhi</w:t>
            </w:r>
            <w:proofErr w:type="spellEnd"/>
            <w:r w:rsidRPr="001B13BD">
              <w:rPr>
                <w:rFonts w:ascii="Arial" w:hAnsi="Arial" w:cs="Arial"/>
              </w:rPr>
              <w:t xml:space="preserve"> kriteria</w:t>
            </w:r>
          </w:p>
        </w:tc>
      </w:tr>
    </w:tbl>
    <w:p w14:paraId="25F79ED3" w14:textId="3AB07B88" w:rsidR="00123C43" w:rsidRPr="001B13BD" w:rsidRDefault="00123C43">
      <w:pPr>
        <w:rPr>
          <w:rFonts w:ascii="Arial" w:hAnsi="Arial" w:cs="Arial"/>
        </w:rPr>
      </w:pPr>
    </w:p>
    <w:p w14:paraId="1F7FD38B" w14:textId="77777777" w:rsidR="007863F7" w:rsidRPr="001B13BD" w:rsidRDefault="007863F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1B13BD" w14:paraId="7F2CC294" w14:textId="77777777" w:rsidTr="00D607BE">
        <w:tc>
          <w:tcPr>
            <w:tcW w:w="9265" w:type="dxa"/>
            <w:gridSpan w:val="2"/>
            <w:shd w:val="clear" w:color="auto" w:fill="E0E0E0"/>
          </w:tcPr>
          <w:p w14:paraId="43ED3C3D" w14:textId="7958F658" w:rsidR="00CB3720" w:rsidRPr="001B13BD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</w:t>
            </w:r>
            <w:r w:rsidR="00894769" w:rsidRPr="001B13BD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1B13BD" w14:paraId="075D097A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1B13BD" w:rsidRDefault="0045277A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0FBCD043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Minimal </w:t>
            </w:r>
            <w:r w:rsidR="00573835" w:rsidRPr="001B13BD">
              <w:rPr>
                <w:rFonts w:ascii="Arial" w:hAnsi="Arial" w:cs="Arial"/>
                <w:color w:val="000000"/>
              </w:rPr>
              <w:t xml:space="preserve">S1 </w:t>
            </w:r>
            <w:r w:rsidR="00C16059" w:rsidRPr="001B13BD">
              <w:rPr>
                <w:rFonts w:ascii="Arial" w:hAnsi="Arial" w:cs="Arial"/>
                <w:color w:val="000000"/>
              </w:rPr>
              <w:t>Kesehatan</w:t>
            </w:r>
          </w:p>
        </w:tc>
      </w:tr>
      <w:tr w:rsidR="00894769" w:rsidRPr="001B13BD" w14:paraId="34514BF3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1B13BD" w:rsidRDefault="0045277A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Pengalaman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2DB092C2" w14:textId="77777777" w:rsidR="00894769" w:rsidRPr="001B13BD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1B13BD">
              <w:rPr>
                <w:rFonts w:ascii="Arial" w:hAnsi="Arial" w:cs="Arial"/>
              </w:rPr>
              <w:t>bidang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EC43A6" w:rsidRPr="001B13BD">
              <w:rPr>
                <w:rFonts w:ascii="Arial" w:hAnsi="Arial" w:cs="Arial"/>
              </w:rPr>
              <w:t xml:space="preserve">yang sama </w:t>
            </w:r>
            <w:r w:rsidR="004E1C21" w:rsidRPr="001B13BD">
              <w:rPr>
                <w:rFonts w:ascii="Arial" w:hAnsi="Arial" w:cs="Arial"/>
              </w:rPr>
              <w:t xml:space="preserve">minimal </w:t>
            </w:r>
            <w:r w:rsidR="00C14AE4" w:rsidRPr="001B13BD">
              <w:rPr>
                <w:rFonts w:ascii="Arial" w:hAnsi="Arial" w:cs="Arial"/>
              </w:rPr>
              <w:t>2</w:t>
            </w:r>
            <w:r w:rsidR="004E1C21" w:rsidRPr="001B13BD">
              <w:rPr>
                <w:rFonts w:ascii="Arial" w:hAnsi="Arial" w:cs="Arial"/>
              </w:rPr>
              <w:t xml:space="preserve"> tahun</w:t>
            </w:r>
          </w:p>
          <w:p w14:paraId="751150AF" w14:textId="02FF0E98" w:rsidR="00E9637B" w:rsidRPr="001B13BD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memiliki</w:t>
            </w:r>
            <w:proofErr w:type="spellEnd"/>
            <w:r w:rsidRPr="001B13BD">
              <w:rPr>
                <w:rFonts w:ascii="Arial" w:hAnsi="Arial" w:cs="Arial"/>
              </w:rPr>
              <w:t xml:space="preserve"> pengalaman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kegiatan </w:t>
            </w:r>
            <w:proofErr w:type="spellStart"/>
            <w:r w:rsidR="00825D37" w:rsidRPr="001B13BD">
              <w:rPr>
                <w:rFonts w:ascii="Arial" w:hAnsi="Arial" w:cs="Arial"/>
              </w:rPr>
              <w:t>pengontrolan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, </w:t>
            </w:r>
            <w:proofErr w:type="spellStart"/>
            <w:r w:rsidR="00825D37" w:rsidRPr="001B13BD">
              <w:rPr>
                <w:rFonts w:ascii="Arial" w:hAnsi="Arial" w:cs="Arial"/>
              </w:rPr>
              <w:t>pengawasan</w:t>
            </w:r>
            <w:proofErr w:type="spellEnd"/>
            <w:r w:rsidR="00825D37" w:rsidRPr="001B13BD">
              <w:rPr>
                <w:rFonts w:ascii="Arial" w:hAnsi="Arial" w:cs="Arial"/>
              </w:rPr>
              <w:t xml:space="preserve"> dan evaluasi </w:t>
            </w:r>
            <w:r w:rsidRPr="001B13BD">
              <w:rPr>
                <w:rFonts w:ascii="Arial" w:hAnsi="Arial" w:cs="Arial"/>
              </w:rPr>
              <w:t>TB</w:t>
            </w:r>
            <w:r w:rsidR="00CC33FF" w:rsidRPr="001B13BD">
              <w:rPr>
                <w:rFonts w:ascii="Arial" w:hAnsi="Arial" w:cs="Arial"/>
              </w:rPr>
              <w:t xml:space="preserve"> RO.</w:t>
            </w:r>
            <w:r w:rsidR="00CB0524" w:rsidRPr="001B13BD">
              <w:rPr>
                <w:rFonts w:ascii="Arial" w:hAnsi="Arial" w:cs="Arial"/>
              </w:rPr>
              <w:t xml:space="preserve"> </w:t>
            </w:r>
          </w:p>
        </w:tc>
      </w:tr>
      <w:tr w:rsidR="00894769" w:rsidRPr="001B13BD" w14:paraId="0FF900DE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1B13BD" w:rsidRDefault="00050025" w:rsidP="00967DB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Bahasa</w:t>
            </w:r>
            <w:r w:rsidR="00894769" w:rsidRPr="001B13BD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C6F7F70" w14:textId="1AE7EBD1" w:rsidR="00EC43A6" w:rsidRPr="001B13BD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Lancar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Indonesia, </w:t>
            </w:r>
            <w:proofErr w:type="spellStart"/>
            <w:r w:rsidR="00D24AAD" w:rsidRPr="001B13BD">
              <w:rPr>
                <w:rFonts w:ascii="Arial" w:hAnsi="Arial" w:cs="Arial"/>
              </w:rPr>
              <w:t>diutamakan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727CBE" w:rsidRPr="001B13BD">
              <w:rPr>
                <w:rFonts w:ascii="Arial" w:hAnsi="Arial" w:cs="Arial"/>
              </w:rPr>
              <w:t>tetapi</w:t>
            </w:r>
            <w:proofErr w:type="spellEnd"/>
            <w:r w:rsidR="00727CBE" w:rsidRPr="001B13BD">
              <w:rPr>
                <w:rFonts w:ascii="Arial" w:hAnsi="Arial" w:cs="Arial"/>
              </w:rPr>
              <w:t xml:space="preserve"> tidak wajib </w:t>
            </w:r>
            <w:proofErr w:type="spellStart"/>
            <w:r w:rsidRPr="001B13BD">
              <w:rPr>
                <w:rFonts w:ascii="Arial" w:hAnsi="Arial" w:cs="Arial"/>
              </w:rPr>
              <w:t>dapat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membaca</w:t>
            </w:r>
            <w:proofErr w:type="spellEnd"/>
            <w:r w:rsidRPr="001B13BD">
              <w:rPr>
                <w:rFonts w:ascii="Arial" w:hAnsi="Arial" w:cs="Arial"/>
              </w:rPr>
              <w:t xml:space="preserve"> dan </w:t>
            </w:r>
            <w:proofErr w:type="spellStart"/>
            <w:r w:rsidRPr="001B13BD">
              <w:rPr>
                <w:rFonts w:ascii="Arial" w:hAnsi="Arial" w:cs="Arial"/>
              </w:rPr>
              <w:t>menulis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dalam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621DCB" w:rsidRPr="001B13BD">
              <w:rPr>
                <w:rFonts w:ascii="Arial" w:hAnsi="Arial" w:cs="Arial"/>
              </w:rPr>
              <w:t>b</w:t>
            </w:r>
            <w:r w:rsidRPr="001B13BD">
              <w:rPr>
                <w:rFonts w:ascii="Arial" w:hAnsi="Arial" w:cs="Arial"/>
              </w:rPr>
              <w:t>ahasa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Inggris</w:t>
            </w:r>
            <w:proofErr w:type="spellEnd"/>
          </w:p>
          <w:p w14:paraId="60113A5E" w14:textId="3DDD4366" w:rsidR="00825D37" w:rsidRPr="001B13BD" w:rsidRDefault="00825D37" w:rsidP="00825D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70582FC" w14:textId="07FE161F" w:rsidR="0002094D" w:rsidRPr="001B13BD" w:rsidRDefault="0002094D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08"/>
        <w:gridCol w:w="5057"/>
      </w:tblGrid>
      <w:tr w:rsidR="00B00960" w:rsidRPr="001B13BD" w14:paraId="4950628E" w14:textId="77777777" w:rsidTr="00D607BE">
        <w:tc>
          <w:tcPr>
            <w:tcW w:w="9265" w:type="dxa"/>
            <w:gridSpan w:val="2"/>
            <w:shd w:val="clear" w:color="auto" w:fill="D0CECE" w:themeFill="background2" w:themeFillShade="E6"/>
          </w:tcPr>
          <w:p w14:paraId="48AF931A" w14:textId="64EF8122" w:rsidR="00B00960" w:rsidRPr="001B13BD" w:rsidRDefault="00B00960" w:rsidP="00387115">
            <w:pPr>
              <w:rPr>
                <w:rFonts w:ascii="Arial" w:hAnsi="Arial" w:cs="Arial"/>
                <w:b/>
                <w:bCs/>
              </w:rPr>
            </w:pPr>
            <w:r w:rsidRPr="001B13BD">
              <w:rPr>
                <w:rFonts w:ascii="Arial" w:hAnsi="Arial" w:cs="Arial"/>
                <w:b/>
                <w:bCs/>
              </w:rPr>
              <w:t>VI. KOMPETENSI</w:t>
            </w:r>
          </w:p>
          <w:p w14:paraId="12AB1BA6" w14:textId="77777777" w:rsidR="00B00960" w:rsidRPr="001B13BD" w:rsidRDefault="00B00960" w:rsidP="00387115">
            <w:pPr>
              <w:rPr>
                <w:rFonts w:ascii="Arial" w:hAnsi="Arial" w:cs="Arial"/>
              </w:rPr>
            </w:pPr>
          </w:p>
        </w:tc>
      </w:tr>
      <w:tr w:rsidR="00B00960" w:rsidRPr="001B13BD" w14:paraId="6870B8A5" w14:textId="77777777" w:rsidTr="00F36352">
        <w:tc>
          <w:tcPr>
            <w:tcW w:w="4208" w:type="dxa"/>
          </w:tcPr>
          <w:p w14:paraId="0F44863D" w14:textId="5339D63C" w:rsidR="00B00960" w:rsidRPr="001B13BD" w:rsidRDefault="00B00960" w:rsidP="00D607BE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52DE78E6" w14:textId="65451EB6" w:rsidR="00B00960" w:rsidRPr="001B13BD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Penguasaan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r w:rsidR="00F915A1" w:rsidRPr="001B13BD">
              <w:rPr>
                <w:rFonts w:ascii="Arial" w:hAnsi="Arial" w:cs="Arial"/>
              </w:rPr>
              <w:t>M</w:t>
            </w:r>
            <w:r w:rsidRPr="001B13BD">
              <w:rPr>
                <w:rFonts w:ascii="Arial" w:hAnsi="Arial" w:cs="Arial"/>
              </w:rPr>
              <w:t xml:space="preserve">icrosoft </w:t>
            </w:r>
            <w:r w:rsidR="00F915A1" w:rsidRPr="001B13BD">
              <w:rPr>
                <w:rFonts w:ascii="Arial" w:hAnsi="Arial" w:cs="Arial"/>
              </w:rPr>
              <w:t>O</w:t>
            </w:r>
            <w:r w:rsidRPr="001B13BD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1B13BD">
              <w:rPr>
                <w:rFonts w:ascii="Arial" w:hAnsi="Arial" w:cs="Arial"/>
              </w:rPr>
              <w:t>powerpoint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  <w:r w:rsidR="009F6165" w:rsidRPr="001B13BD">
              <w:rPr>
                <w:rFonts w:ascii="Arial" w:hAnsi="Arial" w:cs="Arial"/>
              </w:rPr>
              <w:t>.</w:t>
            </w:r>
          </w:p>
          <w:p w14:paraId="242D5D95" w14:textId="1C9B16E8" w:rsidR="00626837" w:rsidRPr="001B13BD" w:rsidRDefault="00626837" w:rsidP="00626837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Pengetahuan</w:t>
            </w:r>
            <w:proofErr w:type="spellEnd"/>
            <w:r w:rsidRPr="001B13BD">
              <w:rPr>
                <w:rFonts w:ascii="Arial" w:hAnsi="Arial" w:cs="Arial"/>
              </w:rPr>
              <w:t xml:space="preserve"> me</w:t>
            </w:r>
            <w:r w:rsidR="00B702E2" w:rsidRPr="001B13BD">
              <w:rPr>
                <w:rFonts w:ascii="Arial" w:hAnsi="Arial" w:cs="Arial"/>
              </w:rPr>
              <w:t>n</w:t>
            </w:r>
            <w:r w:rsidRPr="001B13BD">
              <w:rPr>
                <w:rFonts w:ascii="Arial" w:hAnsi="Arial" w:cs="Arial"/>
              </w:rPr>
              <w:t xml:space="preserve">genai </w:t>
            </w:r>
            <w:proofErr w:type="spellStart"/>
            <w:r w:rsidRPr="001B13BD">
              <w:rPr>
                <w:rFonts w:ascii="Arial" w:hAnsi="Arial" w:cs="Arial"/>
              </w:rPr>
              <w:t>infeksi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menula</w:t>
            </w:r>
            <w:r w:rsidR="00CB0524" w:rsidRPr="001B13BD">
              <w:rPr>
                <w:rFonts w:ascii="Arial" w:hAnsi="Arial" w:cs="Arial"/>
              </w:rPr>
              <w:t>r</w:t>
            </w:r>
            <w:proofErr w:type="spellEnd"/>
            <w:r w:rsidRPr="001B13BD">
              <w:rPr>
                <w:rFonts w:ascii="Arial" w:hAnsi="Arial" w:cs="Arial"/>
              </w:rPr>
              <w:t xml:space="preserve"> dan manajemen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TB</w:t>
            </w:r>
            <w:r w:rsidR="00CC33FF" w:rsidRPr="001B13BD">
              <w:rPr>
                <w:rFonts w:ascii="Arial" w:hAnsi="Arial" w:cs="Arial"/>
              </w:rPr>
              <w:t xml:space="preserve"> SO</w:t>
            </w:r>
            <w:r w:rsidR="00B702E2" w:rsidRPr="001B13BD">
              <w:rPr>
                <w:rFonts w:ascii="Arial" w:hAnsi="Arial" w:cs="Arial"/>
              </w:rPr>
              <w:t xml:space="preserve"> dan TB </w:t>
            </w:r>
            <w:r w:rsidR="00CC33FF" w:rsidRPr="001B13BD">
              <w:rPr>
                <w:rFonts w:ascii="Arial" w:hAnsi="Arial" w:cs="Arial"/>
              </w:rPr>
              <w:t>RO</w:t>
            </w:r>
            <w:r w:rsidRPr="001B13BD">
              <w:rPr>
                <w:rFonts w:ascii="Arial" w:hAnsi="Arial" w:cs="Arial"/>
              </w:rPr>
              <w:t xml:space="preserve">  </w:t>
            </w:r>
          </w:p>
          <w:p w14:paraId="580F7F71" w14:textId="150166F5" w:rsidR="00573835" w:rsidRPr="001B13BD" w:rsidRDefault="00573835" w:rsidP="00825D37">
            <w:pPr>
              <w:pStyle w:val="ListParagraph"/>
              <w:tabs>
                <w:tab w:val="left" w:pos="412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57" w:type="dxa"/>
          </w:tcPr>
          <w:p w14:paraId="61109BAA" w14:textId="77777777" w:rsidR="00732156" w:rsidRPr="001B13BD" w:rsidRDefault="00732156" w:rsidP="0073215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13BD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1B13BD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5530C3F0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Adaptasi</w:t>
            </w:r>
            <w:proofErr w:type="spellEnd"/>
            <w:r w:rsidRPr="001B13BD">
              <w:rPr>
                <w:rFonts w:ascii="Arial" w:hAnsi="Arial" w:cs="Arial"/>
              </w:rPr>
              <w:t xml:space="preserve"> &amp; Kerjasama </w:t>
            </w:r>
          </w:p>
          <w:p w14:paraId="4AD9BFB4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Akuntabilitas</w:t>
            </w:r>
            <w:proofErr w:type="spellEnd"/>
          </w:p>
          <w:p w14:paraId="1E9C3D5A" w14:textId="77777777" w:rsidR="00732156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1B13BD">
              <w:rPr>
                <w:rFonts w:ascii="Arial" w:hAnsi="Arial" w:cs="Arial"/>
              </w:rPr>
              <w:t>Kualitas</w:t>
            </w:r>
            <w:proofErr w:type="spellEnd"/>
            <w:r w:rsidRPr="001B13BD">
              <w:rPr>
                <w:rFonts w:ascii="Arial" w:hAnsi="Arial" w:cs="Arial"/>
              </w:rPr>
              <w:t xml:space="preserve"> Kerja</w:t>
            </w:r>
          </w:p>
          <w:p w14:paraId="37699472" w14:textId="6AEA5AD1" w:rsidR="00B00960" w:rsidRPr="001B13BD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13BD">
              <w:rPr>
                <w:rFonts w:ascii="Arial" w:hAnsi="Arial" w:cs="Arial"/>
              </w:rPr>
              <w:t>Pencapaian</w:t>
            </w:r>
            <w:proofErr w:type="spellEnd"/>
            <w:r w:rsidRPr="001B13BD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0159EB6F" w14:textId="44747363" w:rsidR="00F36352" w:rsidRPr="001B13BD" w:rsidRDefault="00F36352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22"/>
        <w:gridCol w:w="2859"/>
        <w:gridCol w:w="2252"/>
        <w:gridCol w:w="1134"/>
        <w:gridCol w:w="1182"/>
        <w:gridCol w:w="1316"/>
      </w:tblGrid>
      <w:tr w:rsidR="00B00960" w:rsidRPr="001B13BD" w14:paraId="3BAE9288" w14:textId="77777777" w:rsidTr="007310D2">
        <w:tc>
          <w:tcPr>
            <w:tcW w:w="9265" w:type="dxa"/>
            <w:gridSpan w:val="6"/>
            <w:shd w:val="clear" w:color="auto" w:fill="auto"/>
          </w:tcPr>
          <w:p w14:paraId="2EB6C7C0" w14:textId="1310AA1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  <w:r w:rsidRPr="001B13BD">
              <w:rPr>
                <w:rFonts w:ascii="Arial" w:hAnsi="Arial" w:cs="Arial"/>
                <w:b/>
              </w:rPr>
              <w:t xml:space="preserve">VII. INDIKATOR KINERJA UTAMA </w:t>
            </w:r>
          </w:p>
          <w:p w14:paraId="3519D935" w14:textId="77777777" w:rsidR="00B00960" w:rsidRPr="001B13BD" w:rsidRDefault="00B00960" w:rsidP="00387115">
            <w:pPr>
              <w:rPr>
                <w:rFonts w:ascii="Arial" w:hAnsi="Arial" w:cs="Arial"/>
                <w:b/>
              </w:rPr>
            </w:pPr>
          </w:p>
        </w:tc>
      </w:tr>
      <w:tr w:rsidR="00B00960" w:rsidRPr="001B13BD" w14:paraId="7495744A" w14:textId="77777777" w:rsidTr="007310D2">
        <w:tc>
          <w:tcPr>
            <w:tcW w:w="485" w:type="dxa"/>
            <w:shd w:val="clear" w:color="auto" w:fill="auto"/>
          </w:tcPr>
          <w:p w14:paraId="333841CD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No</w:t>
            </w:r>
          </w:p>
        </w:tc>
        <w:tc>
          <w:tcPr>
            <w:tcW w:w="2913" w:type="dxa"/>
            <w:shd w:val="clear" w:color="auto" w:fill="auto"/>
          </w:tcPr>
          <w:p w14:paraId="10411983" w14:textId="47FF9C1E" w:rsidR="00B00960" w:rsidRPr="001B13BD" w:rsidRDefault="00DE22A8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Sasaran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2C7C675F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Target</w:t>
            </w:r>
          </w:p>
        </w:tc>
        <w:tc>
          <w:tcPr>
            <w:tcW w:w="1126" w:type="dxa"/>
            <w:shd w:val="clear" w:color="auto" w:fill="auto"/>
          </w:tcPr>
          <w:p w14:paraId="3B966481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Bobot</w:t>
            </w:r>
            <w:proofErr w:type="spellEnd"/>
            <w:r w:rsidRPr="001B13BD">
              <w:rPr>
                <w:rFonts w:ascii="Arial" w:hAnsi="Arial" w:cs="Arial"/>
              </w:rPr>
              <w:t>(</w:t>
            </w:r>
            <w:proofErr w:type="gramEnd"/>
            <w:r w:rsidRPr="001B13BD">
              <w:rPr>
                <w:rFonts w:ascii="Arial" w:hAnsi="Arial" w:cs="Arial"/>
              </w:rPr>
              <w:t>%)</w:t>
            </w:r>
          </w:p>
        </w:tc>
        <w:tc>
          <w:tcPr>
            <w:tcW w:w="1135" w:type="dxa"/>
            <w:shd w:val="clear" w:color="auto" w:fill="auto"/>
          </w:tcPr>
          <w:p w14:paraId="139A7D29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Frekuensi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28C04EA2" w14:textId="77777777" w:rsidR="00B00960" w:rsidRPr="001B13BD" w:rsidRDefault="00B00960" w:rsidP="00387115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Sumber</w:t>
            </w:r>
            <w:proofErr w:type="spellEnd"/>
            <w:r w:rsidRPr="001B13BD">
              <w:rPr>
                <w:rFonts w:ascii="Arial" w:hAnsi="Arial" w:cs="Arial"/>
              </w:rPr>
              <w:t xml:space="preserve"> Data</w:t>
            </w:r>
          </w:p>
        </w:tc>
      </w:tr>
      <w:tr w:rsidR="007C2CA7" w:rsidRPr="001B13BD" w14:paraId="6972AD14" w14:textId="77777777" w:rsidTr="007310D2">
        <w:tc>
          <w:tcPr>
            <w:tcW w:w="485" w:type="dxa"/>
            <w:shd w:val="clear" w:color="auto" w:fill="auto"/>
          </w:tcPr>
          <w:p w14:paraId="2B024B59" w14:textId="77777777" w:rsidR="007C2CA7" w:rsidRPr="001B13BD" w:rsidRDefault="007C2CA7" w:rsidP="001B1F2F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0A4F2DA8" w14:textId="77777777" w:rsidR="007C2CA7" w:rsidRPr="001B13BD" w:rsidRDefault="003D29FB" w:rsidP="001B1F2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Jumlah </w:t>
            </w:r>
            <w:proofErr w:type="spellStart"/>
            <w:r w:rsidRPr="001B13BD">
              <w:rPr>
                <w:rFonts w:ascii="Arial" w:hAnsi="Arial" w:cs="Arial"/>
              </w:rPr>
              <w:t>layanan</w:t>
            </w:r>
            <w:proofErr w:type="spellEnd"/>
            <w:r w:rsidRPr="001B13BD">
              <w:rPr>
                <w:rFonts w:ascii="Arial" w:hAnsi="Arial" w:cs="Arial"/>
              </w:rPr>
              <w:t xml:space="preserve"> TB RO yang </w:t>
            </w:r>
            <w:proofErr w:type="spellStart"/>
            <w:r w:rsidRPr="001B13BD">
              <w:rPr>
                <w:rFonts w:ascii="Arial" w:hAnsi="Arial" w:cs="Arial"/>
              </w:rPr>
              <w:t>tersedia</w:t>
            </w:r>
            <w:proofErr w:type="spellEnd"/>
          </w:p>
          <w:p w14:paraId="3DCF4B9A" w14:textId="7292F1B2" w:rsidR="00367BEF" w:rsidRPr="001B13BD" w:rsidRDefault="00367BEF" w:rsidP="001B1F2F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shd w:val="clear" w:color="auto" w:fill="auto"/>
          </w:tcPr>
          <w:p w14:paraId="536D0DDB" w14:textId="5596FD19" w:rsidR="00825D37" w:rsidRPr="001B13BD" w:rsidRDefault="00CC33FF" w:rsidP="00B035D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Minimal 1</w:t>
            </w:r>
            <w:r w:rsidR="003D29FB" w:rsidRPr="001B13BD">
              <w:rPr>
                <w:rFonts w:ascii="Arial" w:hAnsi="Arial" w:cs="Arial"/>
              </w:rPr>
              <w:t xml:space="preserve"> </w:t>
            </w:r>
            <w:proofErr w:type="spellStart"/>
            <w:r w:rsidR="003D29FB" w:rsidRPr="001B13BD">
              <w:rPr>
                <w:rFonts w:ascii="Arial" w:hAnsi="Arial" w:cs="Arial"/>
              </w:rPr>
              <w:t>layanan</w:t>
            </w:r>
            <w:proofErr w:type="spellEnd"/>
            <w:r w:rsidR="003D29FB" w:rsidRPr="001B13BD">
              <w:rPr>
                <w:rFonts w:ascii="Arial" w:hAnsi="Arial" w:cs="Arial"/>
              </w:rPr>
              <w:t xml:space="preserve"> TB RO</w:t>
            </w:r>
            <w:r w:rsidR="00B035D6" w:rsidRPr="001B13BD">
              <w:rPr>
                <w:rFonts w:ascii="Arial" w:hAnsi="Arial" w:cs="Arial"/>
              </w:rPr>
              <w:t xml:space="preserve"> </w:t>
            </w:r>
            <w:r w:rsidRPr="001B13BD">
              <w:rPr>
                <w:rFonts w:ascii="Arial" w:hAnsi="Arial" w:cs="Arial"/>
              </w:rPr>
              <w:t xml:space="preserve">setiap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</w:t>
            </w:r>
            <w:proofErr w:type="spellStart"/>
            <w:r w:rsidRPr="001B13BD">
              <w:rPr>
                <w:rFonts w:ascii="Arial" w:hAnsi="Arial" w:cs="Arial"/>
              </w:rPr>
              <w:t>kota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19B962AD" w14:textId="6F51BBE2" w:rsidR="007C2CA7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80B51B3" w14:textId="72CD8014" w:rsidR="007C2CA7" w:rsidRPr="001B13BD" w:rsidRDefault="003D29FB" w:rsidP="001B1F2F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</w:t>
            </w:r>
            <w:r w:rsidR="003E6DA5" w:rsidRPr="001B13BD">
              <w:rPr>
                <w:rFonts w:ascii="Arial" w:hAnsi="Arial" w:cs="Arial"/>
              </w:rPr>
              <w:t>lan</w:t>
            </w:r>
            <w:proofErr w:type="spellEnd"/>
            <w:r w:rsidR="003E6DA5" w:rsidRPr="001B13BD">
              <w:rPr>
                <w:rFonts w:ascii="Arial" w:hAnsi="Arial" w:cs="Arial"/>
              </w:rPr>
              <w:t xml:space="preserve"> </w:t>
            </w:r>
            <w:r w:rsidR="007C2CA7" w:rsidRPr="001B13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654A2B79" w14:textId="3E4FEC7C" w:rsidR="007C2CA7" w:rsidRPr="001B13BD" w:rsidRDefault="007310D2" w:rsidP="001B1F2F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1</w:t>
            </w:r>
          </w:p>
        </w:tc>
      </w:tr>
      <w:tr w:rsidR="000162B1" w:rsidRPr="001B13BD" w14:paraId="2A3FF947" w14:textId="77777777" w:rsidTr="007310D2">
        <w:trPr>
          <w:trHeight w:val="1223"/>
        </w:trPr>
        <w:tc>
          <w:tcPr>
            <w:tcW w:w="485" w:type="dxa"/>
            <w:shd w:val="clear" w:color="auto" w:fill="auto"/>
          </w:tcPr>
          <w:p w14:paraId="6AD03067" w14:textId="77777777" w:rsidR="00942B4B" w:rsidRPr="001B13BD" w:rsidRDefault="003E6DA5" w:rsidP="00387115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2</w:t>
            </w:r>
            <w:r w:rsidR="00942B4B" w:rsidRPr="001B13BD">
              <w:rPr>
                <w:rFonts w:ascii="Arial" w:hAnsi="Arial" w:cs="Arial"/>
              </w:rPr>
              <w:t>.</w:t>
            </w:r>
          </w:p>
          <w:p w14:paraId="799DA77A" w14:textId="4EF4C078" w:rsidR="00B035D6" w:rsidRPr="001B13BD" w:rsidRDefault="00B035D6" w:rsidP="00B035D6">
            <w:pPr>
              <w:rPr>
                <w:rFonts w:ascii="Arial" w:hAnsi="Arial" w:cs="Arial"/>
              </w:rPr>
            </w:pPr>
          </w:p>
        </w:tc>
        <w:tc>
          <w:tcPr>
            <w:tcW w:w="2913" w:type="dxa"/>
            <w:shd w:val="clear" w:color="auto" w:fill="auto"/>
          </w:tcPr>
          <w:p w14:paraId="302EE86F" w14:textId="0BE85392" w:rsidR="00B035D6" w:rsidRPr="001B13BD" w:rsidRDefault="007310D2" w:rsidP="00387115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MICA/ </w:t>
            </w:r>
            <w:proofErr w:type="spellStart"/>
            <w:r w:rsidRPr="001B13BD">
              <w:rPr>
                <w:rFonts w:ascii="Arial" w:hAnsi="Arial" w:cs="Arial"/>
              </w:rPr>
              <w:t>Minikohort</w:t>
            </w:r>
            <w:proofErr w:type="spellEnd"/>
            <w:r w:rsidRPr="001B13BD">
              <w:rPr>
                <w:rFonts w:ascii="Arial" w:hAnsi="Arial" w:cs="Arial"/>
              </w:rPr>
              <w:t xml:space="preserve"> dilaksanakan setiap bulan</w:t>
            </w:r>
          </w:p>
        </w:tc>
        <w:tc>
          <w:tcPr>
            <w:tcW w:w="2277" w:type="dxa"/>
            <w:shd w:val="clear" w:color="auto" w:fill="auto"/>
          </w:tcPr>
          <w:p w14:paraId="37BD8B39" w14:textId="0129C7C4" w:rsidR="00942B4B" w:rsidRPr="001B13BD" w:rsidRDefault="00B53165" w:rsidP="007310D2">
            <w:pPr>
              <w:pStyle w:val="ListParagraph"/>
              <w:ind w:left="0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Seluruh </w:t>
            </w:r>
            <w:proofErr w:type="spellStart"/>
            <w:r w:rsidRPr="001B13BD">
              <w:rPr>
                <w:rFonts w:ascii="Arial" w:hAnsi="Arial" w:cs="Arial"/>
              </w:rPr>
              <w:t>Kabupaten</w:t>
            </w:r>
            <w:proofErr w:type="spellEnd"/>
            <w:r w:rsidRPr="001B13BD">
              <w:rPr>
                <w:rFonts w:ascii="Arial" w:hAnsi="Arial" w:cs="Arial"/>
              </w:rPr>
              <w:t>/Kota</w:t>
            </w:r>
          </w:p>
          <w:p w14:paraId="1297C092" w14:textId="01A23719" w:rsidR="00B035D6" w:rsidRPr="001B13BD" w:rsidDel="00727CBE" w:rsidRDefault="00B035D6" w:rsidP="007310D2">
            <w:pPr>
              <w:pStyle w:val="ListParagraph"/>
              <w:ind w:left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1126" w:type="dxa"/>
            <w:shd w:val="clear" w:color="auto" w:fill="auto"/>
          </w:tcPr>
          <w:p w14:paraId="62C35723" w14:textId="26B3B5C0" w:rsidR="00942B4B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AF2B918" w14:textId="6E4B1BC3" w:rsidR="00B035D6" w:rsidRPr="001B13BD" w:rsidRDefault="007310D2" w:rsidP="00B035D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shd w:val="clear" w:color="auto" w:fill="auto"/>
          </w:tcPr>
          <w:p w14:paraId="4CB3D6B0" w14:textId="684985D0" w:rsidR="00B035D6" w:rsidRPr="001B13BD" w:rsidRDefault="007310D2" w:rsidP="007175E5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2</w:t>
            </w:r>
          </w:p>
        </w:tc>
      </w:tr>
      <w:tr w:rsidR="00D607BE" w:rsidRPr="001B13BD" w14:paraId="056685FA" w14:textId="77777777" w:rsidTr="007310D2">
        <w:tc>
          <w:tcPr>
            <w:tcW w:w="485" w:type="dxa"/>
            <w:shd w:val="clear" w:color="auto" w:fill="auto"/>
          </w:tcPr>
          <w:p w14:paraId="731DAF27" w14:textId="113E151A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shd w:val="clear" w:color="auto" w:fill="auto"/>
          </w:tcPr>
          <w:p w14:paraId="54D565C0" w14:textId="4D57A2F2" w:rsidR="00D607BE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Jumlah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 </w:t>
            </w:r>
            <w:r w:rsidR="00B53165" w:rsidRPr="001B13BD">
              <w:rPr>
                <w:rFonts w:ascii="Arial" w:hAnsi="Arial" w:cs="Arial"/>
              </w:rPr>
              <w:t xml:space="preserve">yang </w:t>
            </w:r>
            <w:r w:rsidRPr="001B13BD">
              <w:rPr>
                <w:rFonts w:ascii="Arial" w:hAnsi="Arial" w:cs="Arial"/>
              </w:rPr>
              <w:t xml:space="preserve">melakukan audit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19AD56E3" w14:textId="41B31856" w:rsidR="00825D37" w:rsidRPr="001B13BD" w:rsidRDefault="00B53165" w:rsidP="00B035D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Seluruh </w:t>
            </w:r>
            <w:proofErr w:type="spellStart"/>
            <w:r w:rsidRPr="001B13BD">
              <w:rPr>
                <w:rFonts w:ascii="Arial" w:hAnsi="Arial" w:cs="Arial"/>
              </w:rPr>
              <w:t>fasyankes</w:t>
            </w:r>
            <w:proofErr w:type="spellEnd"/>
            <w:r w:rsidRPr="001B13BD">
              <w:rPr>
                <w:rFonts w:ascii="Arial" w:hAnsi="Arial" w:cs="Arial"/>
              </w:rPr>
              <w:t xml:space="preserve"> TB RO</w:t>
            </w:r>
          </w:p>
        </w:tc>
        <w:tc>
          <w:tcPr>
            <w:tcW w:w="1126" w:type="dxa"/>
            <w:shd w:val="clear" w:color="auto" w:fill="auto"/>
          </w:tcPr>
          <w:p w14:paraId="29EAF7AA" w14:textId="3D403495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362C0D40" w14:textId="1B179280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53051795" w14:textId="37EEF4BB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3</w:t>
            </w:r>
          </w:p>
        </w:tc>
      </w:tr>
      <w:tr w:rsidR="00D607BE" w:rsidRPr="001B13BD" w14:paraId="2122B33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B87AE0" w14:textId="7096C973" w:rsidR="00D607BE" w:rsidRPr="001B13BD" w:rsidRDefault="003E6DA5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4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E7CA5F5" w14:textId="77777777" w:rsidR="00D607BE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a.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provinsi </w:t>
            </w:r>
            <w:proofErr w:type="spellStart"/>
            <w:r w:rsidRPr="001B13BD">
              <w:rPr>
                <w:rFonts w:ascii="Arial" w:hAnsi="Arial" w:cs="Arial"/>
              </w:rPr>
              <w:t>terbentuk</w:t>
            </w:r>
            <w:proofErr w:type="spellEnd"/>
          </w:p>
          <w:p w14:paraId="5C4EC501" w14:textId="324F0ECC" w:rsidR="007310D2" w:rsidRPr="001B13BD" w:rsidRDefault="007310D2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Konsilium</w:t>
            </w:r>
            <w:proofErr w:type="spellEnd"/>
            <w:r w:rsidRPr="001B13BD">
              <w:rPr>
                <w:rFonts w:ascii="Arial" w:hAnsi="Arial" w:cs="Arial"/>
              </w:rPr>
              <w:t xml:space="preserve"> TB RO provinsi melakukan </w:t>
            </w:r>
            <w:r w:rsidRPr="001B13BD">
              <w:rPr>
                <w:rFonts w:ascii="Arial" w:hAnsi="Arial" w:cs="Arial"/>
              </w:rPr>
              <w:lastRenderedPageBreak/>
              <w:t xml:space="preserve">mentoring </w:t>
            </w:r>
            <w:proofErr w:type="spellStart"/>
            <w:r w:rsidRPr="001B13BD">
              <w:rPr>
                <w:rFonts w:ascii="Arial" w:hAnsi="Arial" w:cs="Arial"/>
              </w:rPr>
              <w:t>klinis</w:t>
            </w:r>
            <w:proofErr w:type="spellEnd"/>
            <w:r w:rsidRPr="001B13BD">
              <w:rPr>
                <w:rFonts w:ascii="Arial" w:hAnsi="Arial" w:cs="Arial"/>
              </w:rPr>
              <w:t xml:space="preserve"> setiap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3424070" w14:textId="25E844BC" w:rsidR="00825D37" w:rsidRPr="001B13BD" w:rsidRDefault="00825D37" w:rsidP="007310D2">
            <w:pPr>
              <w:rPr>
                <w:rFonts w:ascii="Arial" w:hAnsi="Arial" w:cs="Arial"/>
              </w:rPr>
            </w:pPr>
          </w:p>
          <w:p w14:paraId="54E8AB34" w14:textId="7C41010B" w:rsidR="00A86228" w:rsidRPr="001B13BD" w:rsidRDefault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34 Provinsi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CFCBCAF" w14:textId="4506E254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DF7AC4" w14:textId="2AD387DD" w:rsidR="00D607BE" w:rsidRPr="001B13BD" w:rsidRDefault="007310D2" w:rsidP="003D29FB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67567FA" w14:textId="69CECF46" w:rsidR="00D607BE" w:rsidRPr="001B13BD" w:rsidRDefault="007310D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4</w:t>
            </w:r>
          </w:p>
        </w:tc>
      </w:tr>
      <w:tr w:rsidR="00D607BE" w:rsidRPr="001B13BD" w14:paraId="2F303508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0A74EF1C" w:rsidR="00D607BE" w:rsidRPr="001B13BD" w:rsidRDefault="00825D37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</w:t>
            </w:r>
            <w:r w:rsidR="00D607BE" w:rsidRPr="001B13BD">
              <w:rPr>
                <w:rFonts w:ascii="Arial" w:hAnsi="Arial" w:cs="Arial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6FAE6EA" w14:textId="41F83037" w:rsidR="00D607BE" w:rsidRPr="001B13BD" w:rsidRDefault="00B035D6" w:rsidP="00D607BE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Proporsi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yang berobat mendapatkan enablers </w:t>
            </w:r>
            <w:proofErr w:type="spellStart"/>
            <w:r w:rsidRPr="001B13BD">
              <w:rPr>
                <w:rFonts w:ascii="Arial" w:hAnsi="Arial" w:cs="Arial"/>
              </w:rPr>
              <w:t>rutin</w:t>
            </w:r>
            <w:proofErr w:type="spellEnd"/>
            <w:r w:rsidRPr="001B13BD">
              <w:rPr>
                <w:rFonts w:ascii="Arial" w:hAnsi="Arial" w:cs="Arial"/>
              </w:rPr>
              <w:t xml:space="preserve"> setiap bulan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64CB768" w14:textId="6630F049" w:rsidR="00D607BE" w:rsidRPr="001B13BD" w:rsidRDefault="00B035D6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  <w:p w14:paraId="12798391" w14:textId="7E0F9178" w:rsidR="00825D37" w:rsidRPr="001B13BD" w:rsidRDefault="00825D37" w:rsidP="00D607B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3A58E8F3" w:rsidR="00D607BE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38C2A0F6" w:rsidR="00D607BE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48D906CD" w:rsidR="00D607BE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5</w:t>
            </w:r>
          </w:p>
        </w:tc>
      </w:tr>
      <w:tr w:rsidR="00367BEF" w:rsidRPr="001B13BD" w14:paraId="24F02A36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5989420" w14:textId="63414A4C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6.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073B5EE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a.Investigasi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untuk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  <w:r w:rsidRPr="001B13BD">
              <w:rPr>
                <w:rFonts w:ascii="Arial" w:hAnsi="Arial" w:cs="Arial"/>
              </w:rPr>
              <w:t xml:space="preserve"> pasien TB RO </w:t>
            </w:r>
            <w:proofErr w:type="spellStart"/>
            <w:r w:rsidRPr="001B13BD">
              <w:rPr>
                <w:rFonts w:ascii="Arial" w:hAnsi="Arial" w:cs="Arial"/>
              </w:rPr>
              <w:t>terkonfirmasi</w:t>
            </w:r>
            <w:proofErr w:type="spellEnd"/>
          </w:p>
          <w:p w14:paraId="297777DA" w14:textId="558F340A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</w:t>
            </w:r>
            <w:proofErr w:type="spellStart"/>
            <w:r w:rsidRPr="001B13BD">
              <w:rPr>
                <w:rFonts w:ascii="Arial" w:hAnsi="Arial" w:cs="Arial"/>
              </w:rPr>
              <w:t>Cakupan</w:t>
            </w:r>
            <w:proofErr w:type="spellEnd"/>
            <w:r w:rsidRPr="001B13BD">
              <w:rPr>
                <w:rFonts w:ascii="Arial" w:hAnsi="Arial" w:cs="Arial"/>
              </w:rPr>
              <w:t xml:space="preserve"> pemberian TPT pada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serumah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73DB312" w14:textId="2D06A12D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450BA151" w14:textId="2A8C5396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A3869DA" w14:textId="72039CB6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141D0B3" w14:textId="1AC8D293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6</w:t>
            </w:r>
          </w:p>
        </w:tc>
      </w:tr>
      <w:tr w:rsidR="00367BEF" w:rsidRPr="001B13BD" w14:paraId="55594DDD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175B7C" w14:textId="65215059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7.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3BAA9D4" w14:textId="77777777" w:rsidR="00367BEF" w:rsidRPr="001B13BD" w:rsidRDefault="00367BEF" w:rsidP="00367BE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1B13BD">
              <w:rPr>
                <w:rFonts w:ascii="Arial" w:hAnsi="Arial" w:cs="Arial"/>
              </w:rPr>
              <w:t>a.Tidak</w:t>
            </w:r>
            <w:proofErr w:type="spellEnd"/>
            <w:proofErr w:type="gramEnd"/>
            <w:r w:rsidRPr="001B13BD">
              <w:rPr>
                <w:rFonts w:ascii="Arial" w:hAnsi="Arial" w:cs="Arial"/>
              </w:rPr>
              <w:t xml:space="preserve"> terjadi stock out dan overstock </w:t>
            </w:r>
            <w:proofErr w:type="spellStart"/>
            <w:r w:rsidRPr="001B13BD">
              <w:rPr>
                <w:rFonts w:ascii="Arial" w:hAnsi="Arial" w:cs="Arial"/>
              </w:rPr>
              <w:t>logistik</w:t>
            </w:r>
            <w:proofErr w:type="spellEnd"/>
            <w:r w:rsidRPr="001B13BD">
              <w:rPr>
                <w:rFonts w:ascii="Arial" w:hAnsi="Arial" w:cs="Arial"/>
              </w:rPr>
              <w:t xml:space="preserve"> TB RO di semua provinsi</w:t>
            </w:r>
          </w:p>
          <w:p w14:paraId="281D8A53" w14:textId="16AFDB92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b. Permintaan obat per </w:t>
            </w: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  <w:r w:rsidRPr="001B13BD">
              <w:rPr>
                <w:rFonts w:ascii="Arial" w:hAnsi="Arial" w:cs="Arial"/>
              </w:rPr>
              <w:t xml:space="preserve"> dilakukan tepat waktu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05069BF" w14:textId="1978704F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34 Provinsi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7F584D2" w14:textId="56D6C7C5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0F57496" w14:textId="0EECD741" w:rsidR="00367BEF" w:rsidRPr="001B13BD" w:rsidRDefault="008C6667" w:rsidP="007310D2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386618F" w14:textId="672C1C2D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7</w:t>
            </w:r>
          </w:p>
        </w:tc>
      </w:tr>
      <w:tr w:rsidR="00367BEF" w:rsidRPr="001B13BD" w14:paraId="343F28B4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604757" w14:textId="0AB73291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8.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19DBDA9" w14:textId="2DCE0C8C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Data semua pasien TB RO </w:t>
            </w:r>
            <w:proofErr w:type="spellStart"/>
            <w:r w:rsidRPr="001B13BD">
              <w:rPr>
                <w:rFonts w:ascii="Arial" w:hAnsi="Arial" w:cs="Arial"/>
              </w:rPr>
              <w:t>tercatat</w:t>
            </w:r>
            <w:proofErr w:type="spellEnd"/>
            <w:r w:rsidRPr="001B13BD">
              <w:rPr>
                <w:rFonts w:ascii="Arial" w:hAnsi="Arial" w:cs="Arial"/>
              </w:rPr>
              <w:t xml:space="preserve"> lengkap di SITB (termasuk data </w:t>
            </w:r>
            <w:proofErr w:type="spellStart"/>
            <w:r w:rsidRPr="001B13BD">
              <w:rPr>
                <w:rFonts w:ascii="Arial" w:hAnsi="Arial" w:cs="Arial"/>
              </w:rPr>
              <w:t>dasar</w:t>
            </w:r>
            <w:proofErr w:type="spellEnd"/>
            <w:r w:rsidRPr="001B13BD">
              <w:rPr>
                <w:rFonts w:ascii="Arial" w:hAnsi="Arial" w:cs="Arial"/>
              </w:rPr>
              <w:t xml:space="preserve">, hasil lab, </w:t>
            </w:r>
            <w:proofErr w:type="spellStart"/>
            <w:r w:rsidRPr="001B13BD">
              <w:rPr>
                <w:rFonts w:ascii="Arial" w:hAnsi="Arial" w:cs="Arial"/>
              </w:rPr>
              <w:t>kontak</w:t>
            </w:r>
            <w:proofErr w:type="spellEnd"/>
            <w:r w:rsidRPr="001B13BD">
              <w:rPr>
                <w:rFonts w:ascii="Arial" w:hAnsi="Arial" w:cs="Arial"/>
              </w:rPr>
              <w:t xml:space="preserve">, hasil IK, </w:t>
            </w:r>
            <w:proofErr w:type="spellStart"/>
            <w:r w:rsidRPr="001B13BD">
              <w:rPr>
                <w:rFonts w:ascii="Arial" w:hAnsi="Arial" w:cs="Arial"/>
              </w:rPr>
              <w:t>dsb</w:t>
            </w:r>
            <w:proofErr w:type="spellEnd"/>
            <w:r w:rsidRPr="001B13BD">
              <w:rPr>
                <w:rFonts w:ascii="Arial" w:hAnsi="Arial" w:cs="Arial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B81A2D6" w14:textId="375826A3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750A630" w14:textId="6C805859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C04587D" w14:textId="3B8F8435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DC39BDC" w14:textId="0695E2CF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8</w:t>
            </w:r>
          </w:p>
        </w:tc>
      </w:tr>
      <w:tr w:rsidR="00367BEF" w:rsidRPr="001B13BD" w14:paraId="7A3C96F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D87B9E" w14:textId="0BF652D7" w:rsidR="00367BEF" w:rsidRPr="001B13BD" w:rsidRDefault="00367BEF" w:rsidP="00D607BE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9.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6D0B509C" w14:textId="4A643659" w:rsidR="00367BEF" w:rsidRPr="001B13BD" w:rsidRDefault="00367BEF" w:rsidP="00367BEF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Semua pasien yang </w:t>
            </w:r>
            <w:proofErr w:type="spellStart"/>
            <w:r w:rsidRPr="001B13BD">
              <w:rPr>
                <w:rFonts w:ascii="Arial" w:hAnsi="Arial" w:cs="Arial"/>
              </w:rPr>
              <w:t>mengalami</w:t>
            </w:r>
            <w:proofErr w:type="spellEnd"/>
            <w:r w:rsidRPr="001B13BD">
              <w:rPr>
                <w:rFonts w:ascii="Arial" w:hAnsi="Arial" w:cs="Arial"/>
              </w:rPr>
              <w:t xml:space="preserve"> KTD </w:t>
            </w:r>
            <w:proofErr w:type="spellStart"/>
            <w:r w:rsidRPr="001B13BD">
              <w:rPr>
                <w:rFonts w:ascii="Arial" w:hAnsi="Arial" w:cs="Arial"/>
              </w:rPr>
              <w:t>serius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dilaporkan</w:t>
            </w:r>
            <w:proofErr w:type="spellEnd"/>
            <w:r w:rsidRPr="001B13BD">
              <w:rPr>
                <w:rFonts w:ascii="Arial" w:hAnsi="Arial" w:cs="Arial"/>
              </w:rPr>
              <w:t xml:space="preserve"> melalui SITB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620664F" w14:textId="3AE0D33B" w:rsidR="00367BEF" w:rsidRPr="001B13BD" w:rsidRDefault="00367BEF" w:rsidP="00D607BE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401C570" w14:textId="0B680F34" w:rsidR="00367BEF" w:rsidRPr="001B13BD" w:rsidRDefault="00367BEF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FFF9E8" w14:textId="6770EF23" w:rsidR="00367BEF" w:rsidRPr="001B13BD" w:rsidRDefault="00367BEF" w:rsidP="007310D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Bulanan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23172B" w14:textId="4BEFADE0" w:rsidR="00367BEF" w:rsidRPr="001B13BD" w:rsidRDefault="00367BEF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Indikator</w:t>
            </w:r>
            <w:proofErr w:type="spellEnd"/>
            <w:r w:rsidRPr="001B13BD">
              <w:rPr>
                <w:rFonts w:ascii="Arial" w:hAnsi="Arial" w:cs="Arial"/>
              </w:rPr>
              <w:t xml:space="preserve"> Proses 9</w:t>
            </w:r>
          </w:p>
        </w:tc>
      </w:tr>
      <w:tr w:rsidR="00732156" w:rsidRPr="001B13BD" w14:paraId="587E4050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104B8BE" w14:textId="1354CE58" w:rsidR="00732156" w:rsidRPr="001B13BD" w:rsidRDefault="00367BEF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3DAA585E" w14:textId="24BB10FE" w:rsidR="00732156" w:rsidRPr="001B13BD" w:rsidRDefault="00732156" w:rsidP="0073215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Kepatuhan terhadap peraturan dan </w:t>
            </w:r>
            <w:proofErr w:type="spellStart"/>
            <w:r w:rsidRPr="001B13BD">
              <w:rPr>
                <w:rFonts w:ascii="Arial" w:hAnsi="Arial" w:cs="Arial"/>
              </w:rPr>
              <w:t>kebijakan</w:t>
            </w:r>
            <w:proofErr w:type="spellEnd"/>
            <w:r w:rsidRPr="001B13BD">
              <w:rPr>
                <w:rFonts w:ascii="Arial" w:hAnsi="Arial" w:cs="Arial"/>
              </w:rPr>
              <w:t xml:space="preserve"> organisasi</w:t>
            </w:r>
          </w:p>
          <w:p w14:paraId="2D3010B7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27FDFF18" w14:textId="378796AC" w:rsidR="00732156" w:rsidRPr="001B13BD" w:rsidRDefault="00732156" w:rsidP="00732156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 xml:space="preserve">Tidak </w:t>
            </w:r>
            <w:proofErr w:type="spellStart"/>
            <w:r w:rsidRPr="001B13BD">
              <w:rPr>
                <w:rFonts w:ascii="Arial" w:hAnsi="Arial" w:cs="Arial"/>
              </w:rPr>
              <w:t>ada</w:t>
            </w:r>
            <w:proofErr w:type="spellEnd"/>
            <w:r w:rsidRPr="001B13BD">
              <w:rPr>
                <w:rFonts w:ascii="Arial" w:hAnsi="Arial" w:cs="Arial"/>
              </w:rPr>
              <w:t xml:space="preserve"> </w:t>
            </w:r>
            <w:proofErr w:type="spellStart"/>
            <w:r w:rsidRPr="001B13BD">
              <w:rPr>
                <w:rFonts w:ascii="Arial" w:hAnsi="Arial" w:cs="Arial"/>
              </w:rPr>
              <w:t>pelanggaran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6300D0D" w14:textId="4A409A2B" w:rsidR="00732156" w:rsidRPr="001B13BD" w:rsidRDefault="00732156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C719F4E" w14:textId="2B673106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Tahunan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DF91A98" w14:textId="67AC1960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Laporan</w:t>
            </w:r>
            <w:proofErr w:type="spellEnd"/>
            <w:r w:rsidRPr="001B13BD">
              <w:rPr>
                <w:rFonts w:ascii="Arial" w:hAnsi="Arial" w:cs="Arial"/>
              </w:rPr>
              <w:t xml:space="preserve"> HR</w:t>
            </w:r>
          </w:p>
        </w:tc>
      </w:tr>
      <w:tr w:rsidR="00F36352" w:rsidRPr="001B13BD" w14:paraId="5896D57E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3FBCB16" w14:textId="3AC20CB0" w:rsidR="00F36352" w:rsidRPr="001B13BD" w:rsidRDefault="00367BEF" w:rsidP="00F36352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11.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4866F703" w14:textId="5FEBA25E" w:rsidR="00F36352" w:rsidRPr="001B13BD" w:rsidRDefault="00F36352" w:rsidP="00F3635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Mengikuti internal/</w:t>
            </w:r>
            <w:proofErr w:type="spellStart"/>
            <w:r w:rsidRPr="001B13BD">
              <w:rPr>
                <w:rFonts w:ascii="Arial" w:hAnsi="Arial" w:cs="Arial"/>
              </w:rPr>
              <w:t>eksternal</w:t>
            </w:r>
            <w:proofErr w:type="spellEnd"/>
            <w:r w:rsidRPr="001B13BD">
              <w:rPr>
                <w:rFonts w:ascii="Arial" w:hAnsi="Arial" w:cs="Arial"/>
              </w:rPr>
              <w:t xml:space="preserve"> training</w:t>
            </w:r>
          </w:p>
          <w:p w14:paraId="3DAAC97C" w14:textId="77777777" w:rsidR="00F36352" w:rsidRPr="001B13BD" w:rsidRDefault="00F36352" w:rsidP="00F36352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5C006041" w14:textId="12933C6C" w:rsidR="00F36352" w:rsidRPr="001B13BD" w:rsidRDefault="006974C7" w:rsidP="00F36352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</w:t>
            </w:r>
            <w:r w:rsidR="00F36352" w:rsidRPr="001B13BD">
              <w:rPr>
                <w:rFonts w:ascii="Arial" w:hAnsi="Arial" w:cs="Arial"/>
              </w:rPr>
              <w:t xml:space="preserve"> kali / tahun</w:t>
            </w:r>
            <w:r w:rsidR="009F6165" w:rsidRPr="001B13BD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5797F06" w14:textId="74761682" w:rsidR="00F36352" w:rsidRPr="001B13BD" w:rsidRDefault="00F36352" w:rsidP="00382F9C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10AC1BF" w14:textId="509FE89A" w:rsidR="00F36352" w:rsidRPr="001B13BD" w:rsidRDefault="00F36352" w:rsidP="00F36352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Tahunan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4F2547" w14:textId="77777777" w:rsidR="00F36352" w:rsidRPr="001B13BD" w:rsidRDefault="00F36352" w:rsidP="007B7150">
            <w:pPr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Sertifikat</w:t>
            </w:r>
            <w:proofErr w:type="spellEnd"/>
          </w:p>
          <w:p w14:paraId="44B7C1E9" w14:textId="4750B3D3" w:rsidR="00F36352" w:rsidRPr="001B13BD" w:rsidRDefault="00F36352" w:rsidP="007B7150">
            <w:pPr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Training</w:t>
            </w:r>
          </w:p>
        </w:tc>
      </w:tr>
      <w:tr w:rsidR="00732156" w:rsidRPr="001B13BD" w14:paraId="7C9AECE6" w14:textId="77777777" w:rsidTr="007310D2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3D684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732156" w:rsidRPr="001B13BD" w:rsidRDefault="00732156" w:rsidP="0073215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732156" w:rsidRPr="001B13BD" w:rsidRDefault="00732156" w:rsidP="007321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B62579" w14:textId="79F63F53" w:rsidR="002B500B" w:rsidRPr="001B13BD" w:rsidRDefault="002B500B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6F798B" w:rsidRPr="001B13BD" w14:paraId="2FCEDC70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24DB90A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64868C0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Diperiksa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72E755A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1B13BD">
              <w:rPr>
                <w:rFonts w:ascii="Arial" w:hAnsi="Arial" w:cs="Arial"/>
              </w:rPr>
              <w:t>Disetujui</w:t>
            </w:r>
            <w:proofErr w:type="spellEnd"/>
            <w:r w:rsidRPr="001B13BD">
              <w:rPr>
                <w:rFonts w:ascii="Arial" w:hAnsi="Arial" w:cs="Arial"/>
              </w:rPr>
              <w:t xml:space="preserve"> oleh,</w:t>
            </w:r>
          </w:p>
        </w:tc>
      </w:tr>
      <w:tr w:rsidR="006F798B" w:rsidRPr="001B13BD" w14:paraId="2C4B4872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DEB81A4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3ED938F6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2E6AFAAD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591F995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7322B2D2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5F271813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79D388DC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33658B5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16F5EA1A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14C60E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1533182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  <w:p w14:paraId="64325F5E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7B8172C2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01C85F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6F798B" w:rsidRPr="001B13BD" w14:paraId="57BB49CD" w14:textId="77777777" w:rsidTr="006B56ED">
        <w:tc>
          <w:tcPr>
            <w:tcW w:w="3005" w:type="dxa"/>
          </w:tcPr>
          <w:p w14:paraId="7A2F11CD" w14:textId="24A2C504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7ACADE07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53B4BCC9" w14:textId="77777777" w:rsidR="006F798B" w:rsidRPr="001B13BD" w:rsidRDefault="006F798B" w:rsidP="006B56ED">
            <w:pPr>
              <w:jc w:val="center"/>
              <w:rPr>
                <w:rFonts w:ascii="Arial" w:hAnsi="Arial" w:cs="Arial"/>
              </w:rPr>
            </w:pPr>
            <w:r w:rsidRPr="001B13BD">
              <w:rPr>
                <w:rFonts w:ascii="Arial" w:hAnsi="Arial" w:cs="Arial"/>
              </w:rPr>
              <w:t>APR/AS</w:t>
            </w:r>
          </w:p>
        </w:tc>
      </w:tr>
    </w:tbl>
    <w:p w14:paraId="76E8547A" w14:textId="77777777" w:rsidR="00B37A59" w:rsidRPr="001B13BD" w:rsidRDefault="00B37A59">
      <w:pPr>
        <w:rPr>
          <w:rFonts w:ascii="Arial" w:hAnsi="Arial" w:cs="Arial"/>
        </w:rPr>
      </w:pPr>
    </w:p>
    <w:p w14:paraId="72461CD1" w14:textId="77777777" w:rsidR="00176965" w:rsidRPr="001B13BD" w:rsidRDefault="00176965">
      <w:pPr>
        <w:rPr>
          <w:rFonts w:ascii="Arial" w:hAnsi="Arial" w:cs="Arial"/>
        </w:rPr>
      </w:pPr>
    </w:p>
    <w:sectPr w:rsidR="00176965" w:rsidRPr="001B13BD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D26" w14:textId="77777777" w:rsidR="00873492" w:rsidRDefault="00873492" w:rsidP="00D607BE">
      <w:pPr>
        <w:spacing w:after="0" w:line="240" w:lineRule="auto"/>
      </w:pPr>
      <w:r>
        <w:separator/>
      </w:r>
    </w:p>
  </w:endnote>
  <w:endnote w:type="continuationSeparator" w:id="0">
    <w:p w14:paraId="6A438798" w14:textId="77777777" w:rsidR="00873492" w:rsidRDefault="00873492" w:rsidP="00D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790191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65F0734" w14:textId="440BD9EC" w:rsidR="00D607BE" w:rsidRPr="009F6165" w:rsidRDefault="00D607BE" w:rsidP="00D607B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proofErr w:type="spellStart"/>
        <w:r w:rsidRPr="00017B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Pekerjaan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017BA7">
          <w:rPr>
            <w:rFonts w:ascii="Times New Roman" w:hAnsi="Times New Roman"/>
            <w:sz w:val="18"/>
            <w:szCs w:val="18"/>
          </w:rPr>
          <w:t>PMDT</w:t>
        </w:r>
        <w:r w:rsidR="006C194D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6C194D">
          <w:rPr>
            <w:rFonts w:ascii="Times New Roman" w:hAnsi="Times New Roman"/>
            <w:sz w:val="18"/>
            <w:szCs w:val="18"/>
          </w:rPr>
          <w:t>Akselerasi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  </w:t>
        </w:r>
        <w:r w:rsidR="00017BA7">
          <w:rPr>
            <w:rFonts w:ascii="Times New Roman" w:hAnsi="Times New Roman"/>
            <w:sz w:val="18"/>
            <w:szCs w:val="18"/>
          </w:rPr>
          <w:t xml:space="preserve">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</w:t>
        </w:r>
        <w:r w:rsidR="00F36352" w:rsidRPr="00017BA7">
          <w:rPr>
            <w:rFonts w:ascii="Times New Roman" w:hAnsi="Times New Roman"/>
            <w:sz w:val="18"/>
            <w:szCs w:val="18"/>
          </w:rPr>
          <w:t xml:space="preserve">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</w:t>
        </w:r>
        <w:r w:rsidR="009F6165" w:rsidRPr="00017BA7">
          <w:rPr>
            <w:rFonts w:ascii="Times New Roman" w:hAnsi="Times New Roman"/>
            <w:sz w:val="18"/>
            <w:szCs w:val="18"/>
          </w:rPr>
          <w:t xml:space="preserve">                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017BA7">
          <w:rPr>
            <w:rFonts w:ascii="Times New Roman" w:hAnsi="Times New Roman"/>
            <w:sz w:val="18"/>
            <w:szCs w:val="18"/>
          </w:rPr>
          <w:fldChar w:fldCharType="begin"/>
        </w:r>
        <w:r w:rsidRPr="00017B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17BA7">
          <w:rPr>
            <w:rFonts w:ascii="Times New Roman" w:hAnsi="Times New Roman"/>
            <w:sz w:val="18"/>
            <w:szCs w:val="18"/>
          </w:rPr>
          <w:fldChar w:fldCharType="separate"/>
        </w:r>
        <w:r w:rsidRPr="00017BA7">
          <w:rPr>
            <w:rFonts w:ascii="Times New Roman" w:hAnsi="Times New Roman"/>
            <w:noProof/>
            <w:sz w:val="18"/>
            <w:szCs w:val="18"/>
          </w:rPr>
          <w:t>2</w:t>
        </w:r>
        <w:r w:rsidRPr="00017B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38CA8D2D" w14:textId="77777777" w:rsidR="00D607BE" w:rsidRPr="00F36352" w:rsidRDefault="00D607BE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13690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4BD39" w14:textId="14C48283" w:rsidR="00D607BE" w:rsidRPr="00825D37" w:rsidRDefault="00D607BE" w:rsidP="00CE64EB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25D3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Pekerjaan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825D37">
          <w:rPr>
            <w:rFonts w:ascii="Times New Roman" w:hAnsi="Times New Roman"/>
            <w:sz w:val="18"/>
            <w:szCs w:val="18"/>
          </w:rPr>
          <w:t>PMDT</w:t>
        </w:r>
        <w:r w:rsidR="00C05670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6C194D">
          <w:rPr>
            <w:rFonts w:ascii="Times New Roman" w:hAnsi="Times New Roman"/>
            <w:sz w:val="18"/>
            <w:szCs w:val="18"/>
          </w:rPr>
          <w:t>Akselerasi</w:t>
        </w:r>
        <w:proofErr w:type="spellEnd"/>
        <w:r w:rsidR="00CE64EB" w:rsidRP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</w:t>
        </w:r>
        <w:r w:rsid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                                 </w:t>
        </w:r>
        <w:r w:rsidR="00CE64EB" w:rsidRPr="00825D37">
          <w:rPr>
            <w:rFonts w:ascii="Times New Roman" w:hAnsi="Times New Roman"/>
            <w:sz w:val="18"/>
            <w:szCs w:val="18"/>
          </w:rPr>
          <w:t xml:space="preserve">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</w:t>
        </w:r>
        <w:r w:rsidR="009F6165" w:rsidRPr="00825D37">
          <w:rPr>
            <w:rFonts w:ascii="Times New Roman" w:hAnsi="Times New Roman"/>
            <w:sz w:val="18"/>
            <w:szCs w:val="18"/>
          </w:rPr>
          <w:t xml:space="preserve">  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</w:t>
        </w:r>
        <w:r w:rsidRPr="00825D37">
          <w:rPr>
            <w:rFonts w:ascii="Times New Roman" w:hAnsi="Times New Roman"/>
            <w:sz w:val="18"/>
            <w:szCs w:val="18"/>
          </w:rPr>
          <w:fldChar w:fldCharType="begin"/>
        </w:r>
        <w:r w:rsidRPr="00825D3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25D37">
          <w:rPr>
            <w:rFonts w:ascii="Times New Roman" w:hAnsi="Times New Roman"/>
            <w:sz w:val="18"/>
            <w:szCs w:val="18"/>
          </w:rPr>
          <w:fldChar w:fldCharType="separate"/>
        </w:r>
        <w:r w:rsidRPr="00825D37">
          <w:rPr>
            <w:rFonts w:ascii="Times New Roman" w:hAnsi="Times New Roman"/>
            <w:noProof/>
            <w:sz w:val="18"/>
            <w:szCs w:val="18"/>
          </w:rPr>
          <w:t>2</w:t>
        </w:r>
        <w:r w:rsidRPr="00825D3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D306F26" w14:textId="77777777" w:rsidR="00D607BE" w:rsidRDefault="00D6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80AF" w14:textId="77777777" w:rsidR="00873492" w:rsidRDefault="00873492" w:rsidP="00D607BE">
      <w:pPr>
        <w:spacing w:after="0" w:line="240" w:lineRule="auto"/>
      </w:pPr>
      <w:r>
        <w:separator/>
      </w:r>
    </w:p>
  </w:footnote>
  <w:footnote w:type="continuationSeparator" w:id="0">
    <w:p w14:paraId="04AC2250" w14:textId="77777777" w:rsidR="00873492" w:rsidRDefault="00873492" w:rsidP="00D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1EC" w14:textId="77777777" w:rsidR="00D607BE" w:rsidRDefault="00D607BE" w:rsidP="00D607BE">
    <w:pPr>
      <w:spacing w:after="0" w:line="240" w:lineRule="auto"/>
      <w:jc w:val="center"/>
      <w:rPr>
        <w:b/>
        <w:bCs/>
        <w:sz w:val="26"/>
        <w:szCs w:val="26"/>
      </w:rPr>
    </w:pPr>
  </w:p>
  <w:p w14:paraId="7461E01D" w14:textId="0AF0AFD6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17BA7">
      <w:rPr>
        <w:rFonts w:ascii="Times New Roman" w:hAnsi="Times New Roman" w:cs="Times New Roman"/>
        <w:b/>
        <w:bCs/>
        <w:sz w:val="24"/>
        <w:szCs w:val="24"/>
      </w:rPr>
      <w:t>GLOBAL FUND ATM – URAIAN JABATAN</w:t>
    </w:r>
  </w:p>
  <w:p w14:paraId="69DFA94D" w14:textId="5D18F920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017BA7">
      <w:rPr>
        <w:rFonts w:ascii="Times New Roman" w:hAnsi="Times New Roman" w:cs="Times New Roman"/>
        <w:b/>
        <w:bCs/>
      </w:rPr>
      <w:t xml:space="preserve">TINGKAT IMPLEMENTASI: </w:t>
    </w:r>
    <w:r w:rsidR="001874B5">
      <w:rPr>
        <w:rFonts w:ascii="Times New Roman" w:hAnsi="Times New Roman" w:cs="Times New Roman"/>
        <w:b/>
        <w:bCs/>
      </w:rPr>
      <w:t>SUB</w:t>
    </w:r>
    <w:r w:rsidRPr="00017BA7">
      <w:rPr>
        <w:rFonts w:ascii="Times New Roman" w:hAnsi="Times New Roman" w:cs="Times New Roman"/>
        <w:b/>
        <w:bCs/>
      </w:rPr>
      <w:t xml:space="preserve"> RECIPIENT</w:t>
    </w:r>
  </w:p>
  <w:p w14:paraId="71EB9BDE" w14:textId="6F4D2E43" w:rsidR="00D607BE" w:rsidRPr="009F6165" w:rsidRDefault="00D607BE">
    <w:pPr>
      <w:pStyle w:val="Header"/>
      <w:rPr>
        <w:rFonts w:cstheme="minorHAnsi"/>
      </w:rPr>
    </w:pPr>
  </w:p>
  <w:p w14:paraId="6FA536FB" w14:textId="77777777" w:rsidR="00D607BE" w:rsidRPr="009F6165" w:rsidRDefault="00D607B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657C2"/>
    <w:multiLevelType w:val="hybridMultilevel"/>
    <w:tmpl w:val="BC0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8CB"/>
    <w:multiLevelType w:val="hybridMultilevel"/>
    <w:tmpl w:val="996EA8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6726C"/>
    <w:multiLevelType w:val="hybridMultilevel"/>
    <w:tmpl w:val="3744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93C2C"/>
    <w:multiLevelType w:val="hybridMultilevel"/>
    <w:tmpl w:val="50AA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1DD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7F2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24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18"/>
  </w:num>
  <w:num w:numId="24">
    <w:abstractNumId w:val="25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A0F"/>
    <w:rsid w:val="000162B1"/>
    <w:rsid w:val="00017BA7"/>
    <w:rsid w:val="0002094D"/>
    <w:rsid w:val="00044BD2"/>
    <w:rsid w:val="00050025"/>
    <w:rsid w:val="000520C5"/>
    <w:rsid w:val="00055C3E"/>
    <w:rsid w:val="00073885"/>
    <w:rsid w:val="00082346"/>
    <w:rsid w:val="000823CB"/>
    <w:rsid w:val="00085BA9"/>
    <w:rsid w:val="000928B6"/>
    <w:rsid w:val="000A029A"/>
    <w:rsid w:val="000A196B"/>
    <w:rsid w:val="000C0634"/>
    <w:rsid w:val="000C6BCD"/>
    <w:rsid w:val="00102B2B"/>
    <w:rsid w:val="0011276E"/>
    <w:rsid w:val="001133DE"/>
    <w:rsid w:val="00115408"/>
    <w:rsid w:val="00123C43"/>
    <w:rsid w:val="001268D0"/>
    <w:rsid w:val="00127E1B"/>
    <w:rsid w:val="00137D1A"/>
    <w:rsid w:val="00151D54"/>
    <w:rsid w:val="00155A8F"/>
    <w:rsid w:val="00166FC3"/>
    <w:rsid w:val="001709B8"/>
    <w:rsid w:val="00176965"/>
    <w:rsid w:val="00177189"/>
    <w:rsid w:val="001874B5"/>
    <w:rsid w:val="001937E8"/>
    <w:rsid w:val="001A0390"/>
    <w:rsid w:val="001A3462"/>
    <w:rsid w:val="001B13BD"/>
    <w:rsid w:val="001D150D"/>
    <w:rsid w:val="001D609F"/>
    <w:rsid w:val="001E7654"/>
    <w:rsid w:val="00214D18"/>
    <w:rsid w:val="00216B8D"/>
    <w:rsid w:val="002435D8"/>
    <w:rsid w:val="00244CFA"/>
    <w:rsid w:val="0024604F"/>
    <w:rsid w:val="002477F7"/>
    <w:rsid w:val="00247F00"/>
    <w:rsid w:val="00251489"/>
    <w:rsid w:val="002525B0"/>
    <w:rsid w:val="00270F98"/>
    <w:rsid w:val="00283301"/>
    <w:rsid w:val="002B500B"/>
    <w:rsid w:val="002D1C50"/>
    <w:rsid w:val="002E490A"/>
    <w:rsid w:val="002F7483"/>
    <w:rsid w:val="003075C6"/>
    <w:rsid w:val="0030766B"/>
    <w:rsid w:val="00335CBD"/>
    <w:rsid w:val="003417B9"/>
    <w:rsid w:val="003638AB"/>
    <w:rsid w:val="00367BEF"/>
    <w:rsid w:val="00382F9C"/>
    <w:rsid w:val="003A2AAC"/>
    <w:rsid w:val="003A34E0"/>
    <w:rsid w:val="003A73FF"/>
    <w:rsid w:val="003B459A"/>
    <w:rsid w:val="003B6416"/>
    <w:rsid w:val="003B6E06"/>
    <w:rsid w:val="003D29FB"/>
    <w:rsid w:val="003E6B95"/>
    <w:rsid w:val="003E6DA5"/>
    <w:rsid w:val="003F5467"/>
    <w:rsid w:val="003F65AE"/>
    <w:rsid w:val="00437785"/>
    <w:rsid w:val="0044774F"/>
    <w:rsid w:val="00450518"/>
    <w:rsid w:val="00450E4B"/>
    <w:rsid w:val="0045277A"/>
    <w:rsid w:val="0046735C"/>
    <w:rsid w:val="00470B39"/>
    <w:rsid w:val="004836E8"/>
    <w:rsid w:val="00487D51"/>
    <w:rsid w:val="00487E3A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1821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A075C"/>
    <w:rsid w:val="005A0D16"/>
    <w:rsid w:val="005B1AEE"/>
    <w:rsid w:val="005B476F"/>
    <w:rsid w:val="005B71C8"/>
    <w:rsid w:val="005C080C"/>
    <w:rsid w:val="005D5558"/>
    <w:rsid w:val="00616055"/>
    <w:rsid w:val="00621DCB"/>
    <w:rsid w:val="00626837"/>
    <w:rsid w:val="00642C65"/>
    <w:rsid w:val="00650987"/>
    <w:rsid w:val="00657328"/>
    <w:rsid w:val="006649FD"/>
    <w:rsid w:val="0066747E"/>
    <w:rsid w:val="00691195"/>
    <w:rsid w:val="00694804"/>
    <w:rsid w:val="006974C7"/>
    <w:rsid w:val="006C194D"/>
    <w:rsid w:val="006C4B29"/>
    <w:rsid w:val="006F7454"/>
    <w:rsid w:val="006F798B"/>
    <w:rsid w:val="007175E5"/>
    <w:rsid w:val="00727CBE"/>
    <w:rsid w:val="007310D2"/>
    <w:rsid w:val="00732156"/>
    <w:rsid w:val="00745F23"/>
    <w:rsid w:val="00756F42"/>
    <w:rsid w:val="00757823"/>
    <w:rsid w:val="00785D1A"/>
    <w:rsid w:val="007863F7"/>
    <w:rsid w:val="007A4D73"/>
    <w:rsid w:val="007B5176"/>
    <w:rsid w:val="007B7150"/>
    <w:rsid w:val="007C1544"/>
    <w:rsid w:val="007C2CA7"/>
    <w:rsid w:val="007D7DB9"/>
    <w:rsid w:val="0080615C"/>
    <w:rsid w:val="00810414"/>
    <w:rsid w:val="00811129"/>
    <w:rsid w:val="008136F7"/>
    <w:rsid w:val="00825D37"/>
    <w:rsid w:val="00833100"/>
    <w:rsid w:val="0084278C"/>
    <w:rsid w:val="00853053"/>
    <w:rsid w:val="00860158"/>
    <w:rsid w:val="00873492"/>
    <w:rsid w:val="008807A7"/>
    <w:rsid w:val="0089421B"/>
    <w:rsid w:val="00894769"/>
    <w:rsid w:val="00896A73"/>
    <w:rsid w:val="008A10FD"/>
    <w:rsid w:val="008B76BA"/>
    <w:rsid w:val="008C6667"/>
    <w:rsid w:val="008F147C"/>
    <w:rsid w:val="00903BCC"/>
    <w:rsid w:val="00923873"/>
    <w:rsid w:val="00942B4B"/>
    <w:rsid w:val="00942EA8"/>
    <w:rsid w:val="009B2C47"/>
    <w:rsid w:val="009B3AD2"/>
    <w:rsid w:val="009D51CF"/>
    <w:rsid w:val="009F239E"/>
    <w:rsid w:val="009F3EFE"/>
    <w:rsid w:val="009F6165"/>
    <w:rsid w:val="00A04AEF"/>
    <w:rsid w:val="00A1312B"/>
    <w:rsid w:val="00A15635"/>
    <w:rsid w:val="00A17730"/>
    <w:rsid w:val="00A27AAC"/>
    <w:rsid w:val="00A536AF"/>
    <w:rsid w:val="00A556B1"/>
    <w:rsid w:val="00A57037"/>
    <w:rsid w:val="00A6701E"/>
    <w:rsid w:val="00A70DD7"/>
    <w:rsid w:val="00A7443B"/>
    <w:rsid w:val="00A76199"/>
    <w:rsid w:val="00A85C87"/>
    <w:rsid w:val="00A86228"/>
    <w:rsid w:val="00AA5D65"/>
    <w:rsid w:val="00AB16D4"/>
    <w:rsid w:val="00AD203E"/>
    <w:rsid w:val="00AE2FD5"/>
    <w:rsid w:val="00B00960"/>
    <w:rsid w:val="00B035D6"/>
    <w:rsid w:val="00B176F6"/>
    <w:rsid w:val="00B2090C"/>
    <w:rsid w:val="00B3413C"/>
    <w:rsid w:val="00B37A59"/>
    <w:rsid w:val="00B46CFA"/>
    <w:rsid w:val="00B53165"/>
    <w:rsid w:val="00B5373C"/>
    <w:rsid w:val="00B54981"/>
    <w:rsid w:val="00B702E2"/>
    <w:rsid w:val="00B8637C"/>
    <w:rsid w:val="00B9566E"/>
    <w:rsid w:val="00BA53E7"/>
    <w:rsid w:val="00BA5C78"/>
    <w:rsid w:val="00BC1035"/>
    <w:rsid w:val="00BE645D"/>
    <w:rsid w:val="00BF392D"/>
    <w:rsid w:val="00C033B5"/>
    <w:rsid w:val="00C05670"/>
    <w:rsid w:val="00C05750"/>
    <w:rsid w:val="00C06A48"/>
    <w:rsid w:val="00C14AE4"/>
    <w:rsid w:val="00C16059"/>
    <w:rsid w:val="00C16F1A"/>
    <w:rsid w:val="00C16FD3"/>
    <w:rsid w:val="00C206D7"/>
    <w:rsid w:val="00C24EC9"/>
    <w:rsid w:val="00C632C9"/>
    <w:rsid w:val="00C6633E"/>
    <w:rsid w:val="00C913C2"/>
    <w:rsid w:val="00CB0524"/>
    <w:rsid w:val="00CB3720"/>
    <w:rsid w:val="00CC33FF"/>
    <w:rsid w:val="00CC3B31"/>
    <w:rsid w:val="00CE64EB"/>
    <w:rsid w:val="00CF34FF"/>
    <w:rsid w:val="00D0219E"/>
    <w:rsid w:val="00D24AAD"/>
    <w:rsid w:val="00D27F12"/>
    <w:rsid w:val="00D46E3D"/>
    <w:rsid w:val="00D50C9E"/>
    <w:rsid w:val="00D51300"/>
    <w:rsid w:val="00D534AD"/>
    <w:rsid w:val="00D607BE"/>
    <w:rsid w:val="00D7539A"/>
    <w:rsid w:val="00D82515"/>
    <w:rsid w:val="00D970A8"/>
    <w:rsid w:val="00D97482"/>
    <w:rsid w:val="00D97820"/>
    <w:rsid w:val="00DA665F"/>
    <w:rsid w:val="00DC43BB"/>
    <w:rsid w:val="00DC5756"/>
    <w:rsid w:val="00DE22A8"/>
    <w:rsid w:val="00DF27E9"/>
    <w:rsid w:val="00E17359"/>
    <w:rsid w:val="00E30B72"/>
    <w:rsid w:val="00E73D52"/>
    <w:rsid w:val="00E8322F"/>
    <w:rsid w:val="00E956B0"/>
    <w:rsid w:val="00E9637B"/>
    <w:rsid w:val="00EB0195"/>
    <w:rsid w:val="00EB39A1"/>
    <w:rsid w:val="00EC022D"/>
    <w:rsid w:val="00EC43A6"/>
    <w:rsid w:val="00EC67FD"/>
    <w:rsid w:val="00ED7B0A"/>
    <w:rsid w:val="00EE0F8F"/>
    <w:rsid w:val="00EE1808"/>
    <w:rsid w:val="00EF5189"/>
    <w:rsid w:val="00F11962"/>
    <w:rsid w:val="00F2108B"/>
    <w:rsid w:val="00F240B9"/>
    <w:rsid w:val="00F315AC"/>
    <w:rsid w:val="00F36352"/>
    <w:rsid w:val="00F612AB"/>
    <w:rsid w:val="00F915A1"/>
    <w:rsid w:val="00FB416C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16</cp:revision>
  <cp:lastPrinted>2021-12-21T03:26:00Z</cp:lastPrinted>
  <dcterms:created xsi:type="dcterms:W3CDTF">2021-12-10T04:38:00Z</dcterms:created>
  <dcterms:modified xsi:type="dcterms:W3CDTF">2023-10-04T02:00:00Z</dcterms:modified>
</cp:coreProperties>
</file>